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4B6CA" w14:textId="66C764B8" w:rsidR="00837D75" w:rsidRDefault="00CE5407" w:rsidP="00CE5407">
      <w:pPr>
        <w:spacing w:after="0" w:line="360" w:lineRule="auto"/>
        <w:jc w:val="center"/>
        <w:rPr>
          <w:rFonts w:ascii="Helvetica Light" w:hAnsi="Helvetica Light"/>
          <w:b/>
          <w:bCs/>
        </w:rPr>
      </w:pPr>
      <w:r w:rsidRPr="00CE5407">
        <w:rPr>
          <w:rFonts w:ascii="Helvetica Light" w:hAnsi="Helvetica Light"/>
          <w:b/>
          <w:bCs/>
        </w:rPr>
        <w:t xml:space="preserve">ENTRE BABEL E A JUSTIÇA: </w:t>
      </w:r>
      <w:r w:rsidRPr="00CE5407">
        <w:rPr>
          <w:rFonts w:ascii="Helvetica Light" w:hAnsi="Helvetica Light"/>
          <w:b/>
          <w:bCs/>
          <w:i/>
          <w:iCs/>
        </w:rPr>
        <w:t>PROMPT INJECTION</w:t>
      </w:r>
      <w:r w:rsidRPr="00CE5407">
        <w:rPr>
          <w:rFonts w:ascii="Helvetica Light" w:hAnsi="Helvetica Light"/>
          <w:b/>
          <w:bCs/>
        </w:rPr>
        <w:t>, INTELIGÊNCIA ARTIFICIAL E ÉTICA DA ADVOCACIA</w:t>
      </w:r>
    </w:p>
    <w:p w14:paraId="6481F34B" w14:textId="77777777" w:rsidR="00CE5407" w:rsidRDefault="00CE5407" w:rsidP="00CE5407">
      <w:pPr>
        <w:spacing w:after="0" w:line="360" w:lineRule="auto"/>
        <w:jc w:val="both"/>
        <w:rPr>
          <w:rFonts w:ascii="Helvetica Light" w:hAnsi="Helvetica Light"/>
        </w:rPr>
      </w:pPr>
    </w:p>
    <w:p w14:paraId="3CF173D8" w14:textId="787872D3" w:rsidR="00CE5407" w:rsidRDefault="00CE5407" w:rsidP="00CE5407">
      <w:pPr>
        <w:spacing w:after="0" w:line="360" w:lineRule="auto"/>
        <w:jc w:val="both"/>
        <w:rPr>
          <w:rFonts w:ascii="Helvetica Light" w:hAnsi="Helvetica Light"/>
        </w:rPr>
      </w:pPr>
      <w:r>
        <w:rPr>
          <w:rFonts w:ascii="Helvetica Light" w:hAnsi="Helvetica Light"/>
          <w:i/>
          <w:iCs/>
        </w:rPr>
        <w:t xml:space="preserve">Por </w:t>
      </w:r>
      <w:r w:rsidRPr="00CE5407">
        <w:rPr>
          <w:rFonts w:ascii="Helvetica Light" w:hAnsi="Helvetica Light"/>
          <w:b/>
          <w:bCs/>
          <w:i/>
          <w:iCs/>
        </w:rPr>
        <w:t>Luiz Felipe da Silva Andrade</w:t>
      </w:r>
      <w:r>
        <w:rPr>
          <w:rStyle w:val="Refdenotaderodap"/>
          <w:rFonts w:ascii="Helvetica Light" w:hAnsi="Helvetica Light"/>
          <w:b/>
          <w:bCs/>
          <w:i/>
          <w:iCs/>
        </w:rPr>
        <w:footnoteReference w:id="1"/>
      </w:r>
    </w:p>
    <w:p w14:paraId="6A33F214" w14:textId="77777777" w:rsidR="00CE5407" w:rsidRDefault="00CE5407" w:rsidP="00CE5407">
      <w:pPr>
        <w:spacing w:after="0" w:line="360" w:lineRule="auto"/>
        <w:jc w:val="both"/>
        <w:rPr>
          <w:rFonts w:ascii="Helvetica Light" w:hAnsi="Helvetica Light"/>
        </w:rPr>
      </w:pPr>
    </w:p>
    <w:p w14:paraId="6500119F" w14:textId="58941484" w:rsidR="00CE5407" w:rsidRDefault="00CE5407" w:rsidP="00CE5407">
      <w:pPr>
        <w:spacing w:after="0" w:line="360" w:lineRule="auto"/>
        <w:ind w:firstLine="851"/>
        <w:jc w:val="both"/>
        <w:rPr>
          <w:rFonts w:ascii="Helvetica Light" w:hAnsi="Helvetica Light"/>
        </w:rPr>
      </w:pPr>
      <w:r w:rsidRPr="00CE5407">
        <w:rPr>
          <w:rFonts w:ascii="Helvetica Light" w:hAnsi="Helvetica Light"/>
        </w:rPr>
        <w:t>A inteligência artificial já ingressou no sistema de Justiça. Não apenas por meio de painéis estatísticos, ferramentas de triagem processual, robôs de automação ou mecanismos de pesquisa jurídica. Ela entrou, sobretudo, na rotina cotidiana de advogados, magistrados, servidores, membros do Ministério Público, defensores, procuradores e jurisdicionados</w:t>
      </w:r>
      <w:r w:rsidR="000D5630">
        <w:rPr>
          <w:rFonts w:ascii="Helvetica Light" w:hAnsi="Helvetica Light"/>
        </w:rPr>
        <w:t xml:space="preserve">, estando presente em </w:t>
      </w:r>
      <w:r w:rsidR="000D5630" w:rsidRPr="000D5630">
        <w:rPr>
          <w:rFonts w:ascii="Helvetica Light" w:hAnsi="Helvetica Light"/>
        </w:rPr>
        <w:t>pesquisas, minutas, resumos de documentos, organização de teses, análise de grandes volumes de informação, automação de rotinas e apoio à tomada de decisão profissional.</w:t>
      </w:r>
    </w:p>
    <w:p w14:paraId="31F17B95" w14:textId="77777777" w:rsidR="00CE5407" w:rsidRPr="00CE5407" w:rsidRDefault="00CE5407" w:rsidP="00CE5407">
      <w:pPr>
        <w:spacing w:after="0" w:line="360" w:lineRule="auto"/>
        <w:ind w:firstLine="851"/>
        <w:jc w:val="both"/>
        <w:rPr>
          <w:rFonts w:ascii="Helvetica Light" w:hAnsi="Helvetica Light"/>
        </w:rPr>
      </w:pPr>
    </w:p>
    <w:p w14:paraId="62906FCE" w14:textId="77777777" w:rsidR="000D5630" w:rsidRPr="000D5630" w:rsidRDefault="00CE5407" w:rsidP="000D5630">
      <w:pPr>
        <w:spacing w:after="0" w:line="360" w:lineRule="auto"/>
        <w:ind w:firstLine="851"/>
        <w:jc w:val="both"/>
        <w:rPr>
          <w:rFonts w:ascii="Helvetica Light" w:hAnsi="Helvetica Light"/>
          <w:b/>
          <w:bCs/>
        </w:rPr>
      </w:pPr>
      <w:r w:rsidRPr="00CE5407">
        <w:rPr>
          <w:rFonts w:ascii="Helvetica Light" w:hAnsi="Helvetica Light"/>
        </w:rPr>
        <w:t xml:space="preserve">A pergunta, portanto, já não é se a inteligência artificial será utilizada no Direito. Ela já é. A pergunta decisiva é outra: </w:t>
      </w:r>
      <w:r w:rsidR="000D5630" w:rsidRPr="000D5630">
        <w:rPr>
          <w:rFonts w:ascii="Helvetica Light" w:hAnsi="Helvetica Light"/>
          <w:b/>
          <w:bCs/>
        </w:rPr>
        <w:t>como utilizá-la sem comprometer os deveres éticos da profissão, a confiança do cliente, a qualidade da atuação jurídica e a dignidade da Justiça?</w:t>
      </w:r>
    </w:p>
    <w:p w14:paraId="70CE21C2" w14:textId="5A1E273F" w:rsidR="00CE5407" w:rsidRPr="00CE5407" w:rsidRDefault="00CE5407" w:rsidP="00CE5407">
      <w:pPr>
        <w:spacing w:after="0" w:line="360" w:lineRule="auto"/>
        <w:ind w:firstLine="851"/>
        <w:jc w:val="both"/>
        <w:rPr>
          <w:rFonts w:ascii="Helvetica Light" w:hAnsi="Helvetica Light"/>
        </w:rPr>
      </w:pPr>
    </w:p>
    <w:p w14:paraId="777355EB" w14:textId="37ED2600" w:rsidR="00CE5407" w:rsidRPr="00CE5407" w:rsidRDefault="00CE5407" w:rsidP="00CE5407">
      <w:pPr>
        <w:spacing w:after="0" w:line="360" w:lineRule="auto"/>
        <w:ind w:firstLine="851"/>
        <w:jc w:val="both"/>
        <w:rPr>
          <w:rFonts w:ascii="Helvetica Light" w:hAnsi="Helvetica Light"/>
        </w:rPr>
      </w:pPr>
      <w:r w:rsidRPr="00CE5407">
        <w:rPr>
          <w:rFonts w:ascii="Helvetica Light" w:hAnsi="Helvetica Light"/>
        </w:rPr>
        <w:t xml:space="preserve">O debate recente sobre </w:t>
      </w:r>
      <w:r w:rsidRPr="00CE5407">
        <w:rPr>
          <w:rFonts w:ascii="Helvetica Light" w:hAnsi="Helvetica Light"/>
          <w:b/>
          <w:bCs/>
          <w:i/>
          <w:iCs/>
        </w:rPr>
        <w:t xml:space="preserve">prompt </w:t>
      </w:r>
      <w:proofErr w:type="spellStart"/>
      <w:r w:rsidRPr="00CE5407">
        <w:rPr>
          <w:rFonts w:ascii="Helvetica Light" w:hAnsi="Helvetica Light"/>
          <w:b/>
          <w:bCs/>
          <w:i/>
          <w:iCs/>
        </w:rPr>
        <w:t>injection</w:t>
      </w:r>
      <w:proofErr w:type="spellEnd"/>
      <w:r w:rsidRPr="00CE5407">
        <w:rPr>
          <w:rFonts w:ascii="Helvetica Light" w:hAnsi="Helvetica Light"/>
        </w:rPr>
        <w:t xml:space="preserve"> em nosso Judiciário local torna essa reflexão urgente. Em linhas simples, </w:t>
      </w:r>
      <w:r w:rsidRPr="00CE5407">
        <w:rPr>
          <w:rFonts w:ascii="Helvetica Light" w:hAnsi="Helvetica Light"/>
          <w:i/>
          <w:iCs/>
        </w:rPr>
        <w:t xml:space="preserve">prompt </w:t>
      </w:r>
      <w:proofErr w:type="spellStart"/>
      <w:r w:rsidRPr="00CE5407">
        <w:rPr>
          <w:rFonts w:ascii="Helvetica Light" w:hAnsi="Helvetica Light"/>
          <w:i/>
          <w:iCs/>
        </w:rPr>
        <w:t>injection</w:t>
      </w:r>
      <w:proofErr w:type="spellEnd"/>
      <w:r w:rsidRPr="00CE5407">
        <w:rPr>
          <w:rFonts w:ascii="Helvetica Light" w:hAnsi="Helvetica Light"/>
        </w:rPr>
        <w:t xml:space="preserve"> é uma forma de </w:t>
      </w:r>
      <w:r>
        <w:rPr>
          <w:rFonts w:ascii="Helvetica Light" w:hAnsi="Helvetica Light"/>
        </w:rPr>
        <w:t xml:space="preserve">tentar </w:t>
      </w:r>
      <w:r w:rsidRPr="00CE5407">
        <w:rPr>
          <w:rFonts w:ascii="Helvetica Light" w:hAnsi="Helvetica Light"/>
        </w:rPr>
        <w:t>manipula</w:t>
      </w:r>
      <w:r>
        <w:rPr>
          <w:rFonts w:ascii="Helvetica Light" w:hAnsi="Helvetica Light"/>
        </w:rPr>
        <w:t>r</w:t>
      </w:r>
      <w:r w:rsidRPr="00CE5407">
        <w:rPr>
          <w:rFonts w:ascii="Helvetica Light" w:hAnsi="Helvetica Light"/>
        </w:rPr>
        <w:t xml:space="preserve"> sistemas de inteligência artificial por meio de comandos maliciosos ou enganosos, </w:t>
      </w:r>
      <w:r>
        <w:rPr>
          <w:rFonts w:ascii="Helvetica Light" w:hAnsi="Helvetica Light"/>
        </w:rPr>
        <w:t>com o intuito</w:t>
      </w:r>
      <w:r w:rsidRPr="00CE5407">
        <w:rPr>
          <w:rFonts w:ascii="Helvetica Light" w:hAnsi="Helvetica Light"/>
        </w:rPr>
        <w:t xml:space="preserve"> de induzir modelos de linguagem a ignorar instruções anteriores, produzir respostas indevidas, executar comportamentos não pretendidos ou até expor dados sensíveis. A OWASP</w:t>
      </w:r>
      <w:r>
        <w:rPr>
          <w:rStyle w:val="Refdenotaderodap"/>
          <w:rFonts w:ascii="Helvetica Light" w:hAnsi="Helvetica Light"/>
        </w:rPr>
        <w:footnoteReference w:id="2"/>
      </w:r>
      <w:r w:rsidRPr="00CE5407">
        <w:rPr>
          <w:rFonts w:ascii="Helvetica Light" w:hAnsi="Helvetica Light"/>
        </w:rPr>
        <w:t xml:space="preserve">, referência internacional em segurança de aplicações, descreve o fenômeno como vulnerabilidade que manipula o comportamento de grandes modelos de linguagem por meio de </w:t>
      </w:r>
      <w:r w:rsidRPr="00CE5407">
        <w:rPr>
          <w:rFonts w:ascii="Helvetica Light" w:hAnsi="Helvetica Light"/>
          <w:i/>
          <w:iCs/>
        </w:rPr>
        <w:t>prompts</w:t>
      </w:r>
      <w:r w:rsidRPr="00CE5407">
        <w:rPr>
          <w:rFonts w:ascii="Helvetica Light" w:hAnsi="Helvetica Light"/>
        </w:rPr>
        <w:t xml:space="preserve"> maliciosos, podendo gerar vazamento de dados, escalada de privilégios ou respostas antiéticas. </w:t>
      </w:r>
    </w:p>
    <w:p w14:paraId="18194AD7" w14:textId="77777777" w:rsidR="00CE5407" w:rsidRDefault="00CE5407" w:rsidP="00CE5407">
      <w:pPr>
        <w:spacing w:after="0" w:line="360" w:lineRule="auto"/>
        <w:ind w:firstLine="851"/>
        <w:jc w:val="both"/>
        <w:rPr>
          <w:rFonts w:ascii="Helvetica Light" w:hAnsi="Helvetica Light"/>
        </w:rPr>
      </w:pPr>
    </w:p>
    <w:p w14:paraId="71340FF6" w14:textId="3F7355C0" w:rsidR="00CE5407" w:rsidRDefault="00CE5407" w:rsidP="00CE5407">
      <w:pPr>
        <w:spacing w:after="0" w:line="360" w:lineRule="auto"/>
        <w:ind w:firstLine="851"/>
        <w:jc w:val="both"/>
        <w:rPr>
          <w:rFonts w:ascii="Helvetica Light" w:hAnsi="Helvetica Light"/>
        </w:rPr>
      </w:pPr>
      <w:r w:rsidRPr="00CE5407">
        <w:rPr>
          <w:rFonts w:ascii="Helvetica Light" w:hAnsi="Helvetica Light"/>
        </w:rPr>
        <w:t>A questão, portanto, não é meramente tecnológica. É institucional, jurídica e ética</w:t>
      </w:r>
      <w:r w:rsidR="000D5630">
        <w:rPr>
          <w:rFonts w:ascii="Helvetica Light" w:hAnsi="Helvetica Light"/>
        </w:rPr>
        <w:t xml:space="preserve"> e p</w:t>
      </w:r>
      <w:r w:rsidR="000D5630" w:rsidRPr="000D5630">
        <w:rPr>
          <w:rFonts w:ascii="Helvetica Light" w:hAnsi="Helvetica Light"/>
        </w:rPr>
        <w:t xml:space="preserve">ara a advocacia, o ponto central é outro: o episódio evidencia </w:t>
      </w:r>
      <w:r w:rsidR="000D5630" w:rsidRPr="000D5630">
        <w:rPr>
          <w:rFonts w:ascii="Helvetica Light" w:hAnsi="Helvetica Light"/>
        </w:rPr>
        <w:lastRenderedPageBreak/>
        <w:t>a necessidade de maturidade ética, prudência profissional e responsabilidade humana no uso de ferramentas digitais.</w:t>
      </w:r>
    </w:p>
    <w:p w14:paraId="24A04D9C" w14:textId="77777777" w:rsidR="00CE5407" w:rsidRDefault="00CE5407" w:rsidP="00CE5407">
      <w:pPr>
        <w:spacing w:after="0" w:line="360" w:lineRule="auto"/>
        <w:ind w:firstLine="851"/>
        <w:jc w:val="both"/>
        <w:rPr>
          <w:rFonts w:ascii="Helvetica Light" w:hAnsi="Helvetica Light"/>
        </w:rPr>
      </w:pPr>
    </w:p>
    <w:p w14:paraId="636B30E8" w14:textId="712EB469" w:rsidR="000D5630" w:rsidRDefault="000D5630" w:rsidP="00CE5407">
      <w:pPr>
        <w:spacing w:after="0" w:line="360" w:lineRule="auto"/>
        <w:ind w:firstLine="851"/>
        <w:jc w:val="both"/>
        <w:rPr>
          <w:rFonts w:ascii="Helvetica Light" w:hAnsi="Helvetica Light"/>
        </w:rPr>
      </w:pPr>
      <w:r w:rsidRPr="000D5630">
        <w:rPr>
          <w:rFonts w:ascii="Helvetica Light" w:hAnsi="Helvetica Light"/>
        </w:rPr>
        <w:t>Não se trata de presumir que todo sistema seja facilmente manipulável. Trata-se de reconhecer que nenhuma tecnologia, por mais sofisticada que seja, autoriza o advogado a abdicar de seus deveres de diligência, sigilo, independência técnica, veracidade e lealdade.</w:t>
      </w:r>
    </w:p>
    <w:p w14:paraId="11CEA5E1" w14:textId="77777777" w:rsidR="000D5630" w:rsidRDefault="000D5630" w:rsidP="00CE5407">
      <w:pPr>
        <w:spacing w:after="0" w:line="360" w:lineRule="auto"/>
        <w:ind w:firstLine="851"/>
        <w:jc w:val="both"/>
        <w:rPr>
          <w:rFonts w:ascii="Helvetica Light" w:hAnsi="Helvetica Light"/>
        </w:rPr>
      </w:pPr>
    </w:p>
    <w:p w14:paraId="0BFEF146" w14:textId="77777777" w:rsidR="000D5630" w:rsidRDefault="000D5630" w:rsidP="000D5630">
      <w:pPr>
        <w:spacing w:after="0" w:line="360" w:lineRule="auto"/>
        <w:ind w:firstLine="851"/>
        <w:jc w:val="both"/>
        <w:rPr>
          <w:rFonts w:ascii="Helvetica Light" w:hAnsi="Helvetica Light"/>
        </w:rPr>
      </w:pPr>
      <w:r w:rsidRPr="000D5630">
        <w:rPr>
          <w:rFonts w:ascii="Helvetica Light" w:hAnsi="Helvetica Light"/>
        </w:rPr>
        <w:t>A inteligência artificial pode ser instrumento valioso. Pode ampliar a produtividade, reduzir tarefas repetitivas, auxiliar na organização de documentos, sugerir caminhos argumentativos e democratizar o acesso à informação jurídica. Mas ela não substitui a consciência profissional. Não assina petições. Não responde eticamente perante o cliente. Não presta compromisso com a Justiça. Não está sujeita ao Estatuto da Advocacia, ao Código de Ética e Disciplina ou ao julgamento disciplinar da Ordem.</w:t>
      </w:r>
    </w:p>
    <w:p w14:paraId="226C0373" w14:textId="77777777" w:rsidR="000D5630" w:rsidRPr="000D5630" w:rsidRDefault="000D5630" w:rsidP="000D5630">
      <w:pPr>
        <w:spacing w:after="0" w:line="360" w:lineRule="auto"/>
        <w:ind w:firstLine="851"/>
        <w:jc w:val="both"/>
        <w:rPr>
          <w:rFonts w:ascii="Helvetica Light" w:hAnsi="Helvetica Light"/>
        </w:rPr>
      </w:pPr>
    </w:p>
    <w:p w14:paraId="4E7ACCE4" w14:textId="77777777" w:rsidR="000D5630" w:rsidRDefault="000D5630" w:rsidP="000D5630">
      <w:pPr>
        <w:spacing w:after="0" w:line="360" w:lineRule="auto"/>
        <w:ind w:firstLine="851"/>
        <w:jc w:val="both"/>
        <w:rPr>
          <w:rFonts w:ascii="Helvetica Light" w:hAnsi="Helvetica Light"/>
        </w:rPr>
      </w:pPr>
      <w:r w:rsidRPr="000D5630">
        <w:rPr>
          <w:rFonts w:ascii="Helvetica Light" w:hAnsi="Helvetica Light"/>
        </w:rPr>
        <w:t>Quem responde é o advogado.</w:t>
      </w:r>
    </w:p>
    <w:p w14:paraId="6CF0A9AF" w14:textId="77777777" w:rsidR="000D5630" w:rsidRPr="000D5630" w:rsidRDefault="000D5630" w:rsidP="000D5630">
      <w:pPr>
        <w:spacing w:after="0" w:line="360" w:lineRule="auto"/>
        <w:ind w:firstLine="851"/>
        <w:jc w:val="both"/>
        <w:rPr>
          <w:rFonts w:ascii="Helvetica Light" w:hAnsi="Helvetica Light"/>
        </w:rPr>
      </w:pPr>
    </w:p>
    <w:p w14:paraId="58132516" w14:textId="77777777" w:rsidR="000D5630" w:rsidRPr="000D5630" w:rsidRDefault="000D5630" w:rsidP="000D5630">
      <w:pPr>
        <w:spacing w:after="0" w:line="360" w:lineRule="auto"/>
        <w:ind w:firstLine="851"/>
        <w:jc w:val="both"/>
        <w:rPr>
          <w:rFonts w:ascii="Helvetica Light" w:hAnsi="Helvetica Light"/>
          <w:b/>
          <w:bCs/>
        </w:rPr>
      </w:pPr>
      <w:r w:rsidRPr="000D5630">
        <w:rPr>
          <w:rFonts w:ascii="Helvetica Light" w:hAnsi="Helvetica Light"/>
        </w:rPr>
        <w:t xml:space="preserve">Essa distinção é fundamental. </w:t>
      </w:r>
      <w:r w:rsidRPr="000D5630">
        <w:rPr>
          <w:rFonts w:ascii="Helvetica Light" w:hAnsi="Helvetica Light"/>
          <w:b/>
          <w:bCs/>
        </w:rPr>
        <w:t>A IA deve ser ferramenta, nunca álibi; apoio técnico, nunca substituto do juízo profissional; meio de eficiência, nunca autorização para reduzir qualidade, sigilo, prudência ou responsabilidade.</w:t>
      </w:r>
    </w:p>
    <w:p w14:paraId="50B74DB6" w14:textId="77777777" w:rsidR="000D5630" w:rsidRPr="00CE5407" w:rsidRDefault="000D5630" w:rsidP="00CE5407">
      <w:pPr>
        <w:spacing w:after="0" w:line="360" w:lineRule="auto"/>
        <w:ind w:firstLine="851"/>
        <w:jc w:val="both"/>
        <w:rPr>
          <w:rFonts w:ascii="Helvetica Light" w:hAnsi="Helvetica Light"/>
        </w:rPr>
      </w:pPr>
    </w:p>
    <w:p w14:paraId="755534FE" w14:textId="1FD7A991" w:rsidR="00CE5407" w:rsidRDefault="00CE5407" w:rsidP="00CE5407">
      <w:pPr>
        <w:spacing w:after="0" w:line="360" w:lineRule="auto"/>
        <w:ind w:firstLine="851"/>
        <w:jc w:val="both"/>
        <w:rPr>
          <w:rFonts w:ascii="Helvetica Light" w:hAnsi="Helvetica Light"/>
        </w:rPr>
      </w:pPr>
      <w:r w:rsidRPr="00CE5407">
        <w:rPr>
          <w:rFonts w:ascii="Helvetica Light" w:hAnsi="Helvetica Light"/>
        </w:rPr>
        <w:t xml:space="preserve">Na Carta Encíclica </w:t>
      </w:r>
      <w:r w:rsidRPr="00CE5407">
        <w:rPr>
          <w:rFonts w:ascii="Helvetica Light" w:hAnsi="Helvetica Light"/>
          <w:i/>
          <w:iCs/>
        </w:rPr>
        <w:t>Magnifica Humanitas</w:t>
      </w:r>
      <w:r>
        <w:rPr>
          <w:rStyle w:val="Refdenotaderodap"/>
          <w:rFonts w:ascii="Helvetica Light" w:hAnsi="Helvetica Light"/>
          <w:i/>
          <w:iCs/>
        </w:rPr>
        <w:footnoteReference w:id="3"/>
      </w:r>
      <w:r w:rsidRPr="00CE5407">
        <w:rPr>
          <w:rFonts w:ascii="Helvetica Light" w:hAnsi="Helvetica Light"/>
        </w:rPr>
        <w:t xml:space="preserve">, dedicada à salvaguarda da pessoa humana na era da inteligência artificial, o Santo Padre Leão XIV propõe uma imagem particularmente fecunda: diante das “coisas novas” do nosso tempo, a humanidade deve escolher entre erguer uma nova torre de Babel ou construir a cidade onde Deus e a humanidade habitam juntos. Babel representa a técnica absolutizada, a eficiência sem dignidade, o poder que se fecha em si mesmo. Jerusalém, ao contrário, simboliza reconstrução comum, responsabilidade partilhada, comunhão e serviço ao bem comum. </w:t>
      </w:r>
    </w:p>
    <w:p w14:paraId="6150EBAA" w14:textId="77777777" w:rsidR="00CE5407" w:rsidRPr="00CE5407" w:rsidRDefault="00CE5407" w:rsidP="00CE5407">
      <w:pPr>
        <w:spacing w:after="0" w:line="360" w:lineRule="auto"/>
        <w:ind w:firstLine="851"/>
        <w:jc w:val="both"/>
        <w:rPr>
          <w:rFonts w:ascii="Helvetica Light" w:hAnsi="Helvetica Light"/>
        </w:rPr>
      </w:pPr>
    </w:p>
    <w:p w14:paraId="60DEF260" w14:textId="7FD1502C" w:rsidR="00CE5407" w:rsidRDefault="00CE5407" w:rsidP="00CE5407">
      <w:pPr>
        <w:spacing w:after="0" w:line="360" w:lineRule="auto"/>
        <w:ind w:firstLine="851"/>
        <w:jc w:val="both"/>
        <w:rPr>
          <w:rFonts w:ascii="Helvetica Light" w:hAnsi="Helvetica Light"/>
        </w:rPr>
      </w:pPr>
      <w:r w:rsidRPr="00CE5407">
        <w:rPr>
          <w:rFonts w:ascii="Helvetica Light" w:hAnsi="Helvetica Light"/>
        </w:rPr>
        <w:t xml:space="preserve">Esse paralelo alcança diretamente a advocacia. </w:t>
      </w:r>
      <w:r w:rsidR="000D5630">
        <w:rPr>
          <w:rFonts w:ascii="Helvetica Light" w:hAnsi="Helvetica Light"/>
        </w:rPr>
        <w:t>O exercício profissional</w:t>
      </w:r>
      <w:r w:rsidRPr="00CE5407">
        <w:rPr>
          <w:rFonts w:ascii="Helvetica Light" w:hAnsi="Helvetica Light"/>
        </w:rPr>
        <w:t xml:space="preserve"> não existe para vencer a qualquer custo, explorar brechas tecnológicas, manipular sistemas ou substituir prudência por automação. A advocacia existe para defender direitos, garantir contraditório, proteger liberdades, preservar a dignidade da pessoa humana e servir à Justiça.</w:t>
      </w:r>
    </w:p>
    <w:p w14:paraId="238BE7B4" w14:textId="77777777" w:rsidR="00CE5407" w:rsidRPr="00CE5407" w:rsidRDefault="00CE5407" w:rsidP="00CE5407">
      <w:pPr>
        <w:spacing w:after="0" w:line="360" w:lineRule="auto"/>
        <w:ind w:firstLine="851"/>
        <w:jc w:val="both"/>
        <w:rPr>
          <w:rFonts w:ascii="Helvetica Light" w:hAnsi="Helvetica Light"/>
        </w:rPr>
      </w:pPr>
    </w:p>
    <w:p w14:paraId="640541B0" w14:textId="77777777" w:rsidR="00CE5407" w:rsidRDefault="00CE5407" w:rsidP="00CE5407">
      <w:pPr>
        <w:spacing w:after="0" w:line="360" w:lineRule="auto"/>
        <w:ind w:firstLine="851"/>
        <w:jc w:val="both"/>
        <w:rPr>
          <w:rFonts w:ascii="Helvetica Light" w:hAnsi="Helvetica Light"/>
        </w:rPr>
      </w:pPr>
      <w:r w:rsidRPr="00CE5407">
        <w:rPr>
          <w:rFonts w:ascii="Helvetica Light" w:hAnsi="Helvetica Light"/>
        </w:rPr>
        <w:t>A inteligência artificial pode auxiliar a advocacia. Pode organizar documentos, sugerir estruturas argumentativas, comparar precedentes, resumir autos volumosos, identificar inconsistências e democratizar o acesso à informação jurídica. Mas não substitui a consciência profissional, nem afasta a responsabilidade técnica de quem subscreve uma manifestação jurídica.</w:t>
      </w:r>
    </w:p>
    <w:p w14:paraId="6B880305" w14:textId="77777777" w:rsidR="00CE5407" w:rsidRPr="00CE5407" w:rsidRDefault="00CE5407" w:rsidP="00CE5407">
      <w:pPr>
        <w:spacing w:after="0" w:line="360" w:lineRule="auto"/>
        <w:ind w:firstLine="851"/>
        <w:jc w:val="both"/>
        <w:rPr>
          <w:rFonts w:ascii="Helvetica Light" w:hAnsi="Helvetica Light"/>
        </w:rPr>
      </w:pPr>
    </w:p>
    <w:p w14:paraId="38B5DD99" w14:textId="77777777" w:rsidR="00CE5407" w:rsidRDefault="00CE5407" w:rsidP="00CE5407">
      <w:pPr>
        <w:spacing w:after="0" w:line="360" w:lineRule="auto"/>
        <w:ind w:firstLine="851"/>
        <w:jc w:val="both"/>
        <w:rPr>
          <w:rFonts w:ascii="Helvetica Light" w:hAnsi="Helvetica Light"/>
        </w:rPr>
      </w:pPr>
      <w:r w:rsidRPr="00CE5407">
        <w:rPr>
          <w:rFonts w:ascii="Helvetica Light" w:hAnsi="Helvetica Light"/>
        </w:rPr>
        <w:t xml:space="preserve">A </w:t>
      </w:r>
      <w:r w:rsidRPr="00CE5407">
        <w:rPr>
          <w:rFonts w:ascii="Helvetica Light" w:hAnsi="Helvetica Light"/>
          <w:i/>
          <w:iCs/>
        </w:rPr>
        <w:t>Magnifica Humanitas</w:t>
      </w:r>
      <w:r w:rsidRPr="00CE5407">
        <w:rPr>
          <w:rFonts w:ascii="Helvetica Light" w:hAnsi="Helvetica Light"/>
        </w:rPr>
        <w:t xml:space="preserve"> é precisa ao advertir que a inteligência artificial não deve ser tratada como apêndice temático ou emergência passageira, mas como transformação que interpela profundamente as categorias éticas, sociais e institucionais do nosso tempo. O documento afirma que, para salvaguardar a pessoa humana na era da IA, é necessário redescobrir princípios como bem comum, destinação universal dos bens, subsidiariedade, solidariedade e justiça social. </w:t>
      </w:r>
    </w:p>
    <w:p w14:paraId="0BDBCB9B" w14:textId="77777777" w:rsidR="00CE5407" w:rsidRDefault="00CE5407" w:rsidP="00CE5407">
      <w:pPr>
        <w:spacing w:after="0" w:line="360" w:lineRule="auto"/>
        <w:ind w:firstLine="851"/>
        <w:jc w:val="both"/>
        <w:rPr>
          <w:rFonts w:ascii="Helvetica Light" w:hAnsi="Helvetica Light"/>
        </w:rPr>
      </w:pPr>
    </w:p>
    <w:p w14:paraId="6D102C45" w14:textId="11DA65EB" w:rsidR="000D5630" w:rsidRDefault="000D5630" w:rsidP="00CE5407">
      <w:pPr>
        <w:spacing w:after="0" w:line="360" w:lineRule="auto"/>
        <w:ind w:firstLine="851"/>
        <w:jc w:val="both"/>
        <w:rPr>
          <w:rFonts w:ascii="Helvetica Light" w:hAnsi="Helvetica Light"/>
        </w:rPr>
      </w:pPr>
      <w:r>
        <w:rPr>
          <w:rFonts w:ascii="Helvetica Light" w:hAnsi="Helvetica Light"/>
        </w:rPr>
        <w:t xml:space="preserve">Em outras palavras, </w:t>
      </w:r>
      <w:r w:rsidRPr="000D5630">
        <w:rPr>
          <w:rFonts w:ascii="Helvetica Light" w:hAnsi="Helvetica Light"/>
        </w:rPr>
        <w:t>o desenvolvimento tecnológico, embora precioso, exige discernimento sobre a visão antropológica que o orienta e sobre os fins que persegue. Quando os meios aumentam sem correspondente maturação ética e social, há o risco de termos mais poder, mais velocidade e mais eficiência, mas menos humanidade.</w:t>
      </w:r>
    </w:p>
    <w:p w14:paraId="4F6832B6" w14:textId="77777777" w:rsidR="000D5630" w:rsidRPr="00CE5407" w:rsidRDefault="000D5630" w:rsidP="00CE5407">
      <w:pPr>
        <w:spacing w:after="0" w:line="360" w:lineRule="auto"/>
        <w:ind w:firstLine="851"/>
        <w:jc w:val="both"/>
        <w:rPr>
          <w:rFonts w:ascii="Helvetica Light" w:hAnsi="Helvetica Light"/>
        </w:rPr>
      </w:pPr>
    </w:p>
    <w:p w14:paraId="028DEF85" w14:textId="756484EA" w:rsidR="00CE5407" w:rsidRDefault="000D5630" w:rsidP="00CE5407">
      <w:pPr>
        <w:spacing w:after="0" w:line="360" w:lineRule="auto"/>
        <w:ind w:firstLine="851"/>
        <w:jc w:val="both"/>
        <w:rPr>
          <w:rFonts w:ascii="Helvetica Light" w:hAnsi="Helvetica Light"/>
        </w:rPr>
      </w:pPr>
      <w:r w:rsidRPr="000D5630">
        <w:rPr>
          <w:rFonts w:ascii="Helvetica Light" w:hAnsi="Helvetica Light"/>
        </w:rPr>
        <w:t>No campo jurídico, essa advertência é direta: uma advocacia mais automatizada não será necessariamente uma advocacia melhor. Será melhor apenas se permanecer mais responsável, mais transparente, mais cuidadosa e mais fiel à sua função pública.</w:t>
      </w:r>
    </w:p>
    <w:p w14:paraId="49C89433" w14:textId="77777777" w:rsidR="000D5630" w:rsidRDefault="000D5630" w:rsidP="00CE5407">
      <w:pPr>
        <w:spacing w:after="0" w:line="360" w:lineRule="auto"/>
        <w:ind w:firstLine="851"/>
        <w:jc w:val="both"/>
        <w:rPr>
          <w:rFonts w:ascii="Helvetica Light" w:hAnsi="Helvetica Light"/>
        </w:rPr>
      </w:pPr>
    </w:p>
    <w:p w14:paraId="5664C6A3" w14:textId="6EFC9DD9" w:rsidR="000E32CE" w:rsidRDefault="000D5630" w:rsidP="000E32CE">
      <w:pPr>
        <w:spacing w:after="0" w:line="360" w:lineRule="auto"/>
        <w:ind w:firstLine="851"/>
        <w:jc w:val="both"/>
        <w:rPr>
          <w:rFonts w:ascii="Helvetica Light" w:hAnsi="Helvetica Light"/>
        </w:rPr>
      </w:pPr>
      <w:r w:rsidRPr="000D5630">
        <w:rPr>
          <w:rFonts w:ascii="Helvetica Light" w:hAnsi="Helvetica Light"/>
        </w:rPr>
        <w:t>É nesse contexto que ganha especial importância a</w:t>
      </w:r>
      <w:r>
        <w:rPr>
          <w:rFonts w:ascii="Helvetica Light" w:hAnsi="Helvetica Light"/>
        </w:rPr>
        <w:t xml:space="preserve"> </w:t>
      </w:r>
      <w:r w:rsidR="000E32CE" w:rsidRPr="000E32CE">
        <w:rPr>
          <w:rFonts w:ascii="Helvetica Light" w:hAnsi="Helvetica Light"/>
          <w:b/>
          <w:bCs/>
        </w:rPr>
        <w:t>Recomendação nº 001/2024</w:t>
      </w:r>
      <w:r w:rsidR="000E32CE">
        <w:rPr>
          <w:rStyle w:val="Refdenotaderodap"/>
          <w:rFonts w:ascii="Helvetica Light" w:hAnsi="Helvetica Light"/>
          <w:b/>
          <w:bCs/>
        </w:rPr>
        <w:footnoteReference w:id="4"/>
      </w:r>
      <w:r w:rsidR="000E32CE" w:rsidRPr="000E32CE">
        <w:rPr>
          <w:rFonts w:ascii="Helvetica Light" w:hAnsi="Helvetica Light"/>
        </w:rPr>
        <w:t xml:space="preserve">, </w:t>
      </w:r>
      <w:r w:rsidRPr="000D5630">
        <w:rPr>
          <w:rFonts w:ascii="Helvetica Light" w:hAnsi="Helvetica Light"/>
        </w:rPr>
        <w:t>que apresenta diretrizes para orientar o uso de inteligência artificial generativa na prática jurídica. O documento foi aprovado pelo Conselho Federal da OAB e estruturado em quatro pilares: legislação aplicável, confidencialidade e privacidade, prática jurídica ética e comunicação sobre o uso de IA generativa.</w:t>
      </w:r>
    </w:p>
    <w:p w14:paraId="460EB2D1" w14:textId="77777777" w:rsidR="000D5630" w:rsidRPr="000E32CE" w:rsidRDefault="000D5630" w:rsidP="000E32CE">
      <w:pPr>
        <w:spacing w:after="0" w:line="360" w:lineRule="auto"/>
        <w:ind w:firstLine="851"/>
        <w:jc w:val="both"/>
        <w:rPr>
          <w:rFonts w:ascii="Helvetica Light" w:hAnsi="Helvetica Light"/>
        </w:rPr>
      </w:pPr>
    </w:p>
    <w:p w14:paraId="74C4B384" w14:textId="39B86558" w:rsidR="000E32CE" w:rsidRDefault="000E32CE" w:rsidP="000E32CE">
      <w:pPr>
        <w:spacing w:after="0" w:line="360" w:lineRule="auto"/>
        <w:ind w:firstLine="851"/>
        <w:jc w:val="both"/>
        <w:rPr>
          <w:rFonts w:ascii="Helvetica Light" w:hAnsi="Helvetica Light"/>
        </w:rPr>
      </w:pPr>
      <w:r w:rsidRPr="000E32CE">
        <w:rPr>
          <w:rFonts w:ascii="Helvetica Light" w:hAnsi="Helvetica Light"/>
        </w:rPr>
        <w:t xml:space="preserve">A Recomendação </w:t>
      </w:r>
      <w:r w:rsidR="000D5630" w:rsidRPr="000D5630">
        <w:rPr>
          <w:rFonts w:ascii="Helvetica Light" w:hAnsi="Helvetica Light"/>
        </w:rPr>
        <w:t xml:space="preserve">que apresenta diretrizes para orientar o uso de inteligência artificial generativa na prática jurídica. O documento foi aprovado pelo Conselho Federal da OAB e estruturado em quatro pilares: legislação </w:t>
      </w:r>
      <w:r w:rsidR="000D5630" w:rsidRPr="000D5630">
        <w:rPr>
          <w:rFonts w:ascii="Helvetica Light" w:hAnsi="Helvetica Light"/>
        </w:rPr>
        <w:lastRenderedPageBreak/>
        <w:t>aplicável, confidencialidade e privacidade, prática jurídica ética e comunicação sobre o uso de IA generativa.</w:t>
      </w:r>
    </w:p>
    <w:p w14:paraId="3F01BDF3" w14:textId="77777777" w:rsidR="000D5630" w:rsidRPr="000E32CE" w:rsidRDefault="000D5630" w:rsidP="000E32CE">
      <w:pPr>
        <w:spacing w:after="0" w:line="360" w:lineRule="auto"/>
        <w:ind w:firstLine="851"/>
        <w:jc w:val="both"/>
        <w:rPr>
          <w:rFonts w:ascii="Helvetica Light" w:hAnsi="Helvetica Light"/>
        </w:rPr>
      </w:pPr>
    </w:p>
    <w:p w14:paraId="17BFF624"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Esse é o ponto central: a questão não é apenas saber se a ferramenta funciona. É saber se o modo como ela é utilizada preserva a ética da profissão.</w:t>
      </w:r>
    </w:p>
    <w:p w14:paraId="2C7FF13F" w14:textId="77777777" w:rsidR="006134F0" w:rsidRPr="006134F0" w:rsidRDefault="006134F0" w:rsidP="006134F0">
      <w:pPr>
        <w:spacing w:after="0" w:line="360" w:lineRule="auto"/>
        <w:ind w:firstLine="851"/>
        <w:jc w:val="both"/>
        <w:rPr>
          <w:rFonts w:ascii="Helvetica Light" w:hAnsi="Helvetica Light"/>
        </w:rPr>
      </w:pPr>
    </w:p>
    <w:p w14:paraId="3A528072"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 xml:space="preserve">A Recomendação nº 001/2024 parte de premissas práticas relevantes. Ferramentas de IA generativa podem utilizar informações compartilhadas em seus sistemas para treinamento, inclusive prompts e documentos carregados; podem compartilhar dados com terceiros; e podem gerar conteúdos errados, imprecisos ou enviesados. Também adverte que o uso de IA por advogados e advogadas não pode reduzir a qualidade dos serviços jurídicos prestados, tampouco falsear informações, jurisprudências ou fatos apresentados em juízo. </w:t>
      </w:r>
    </w:p>
    <w:p w14:paraId="742EDCCB" w14:textId="77777777" w:rsidR="006134F0" w:rsidRDefault="006134F0" w:rsidP="006134F0">
      <w:pPr>
        <w:spacing w:after="0" w:line="360" w:lineRule="auto"/>
        <w:ind w:firstLine="851"/>
        <w:jc w:val="both"/>
        <w:rPr>
          <w:rFonts w:ascii="Helvetica Light" w:hAnsi="Helvetica Light"/>
        </w:rPr>
      </w:pPr>
    </w:p>
    <w:p w14:paraId="5ABC037F"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Dessa orientação decorrem deveres concretos.</w:t>
      </w:r>
    </w:p>
    <w:p w14:paraId="45BA2C3D" w14:textId="77777777" w:rsidR="006134F0" w:rsidRPr="006134F0" w:rsidRDefault="006134F0" w:rsidP="006134F0">
      <w:pPr>
        <w:spacing w:after="0" w:line="360" w:lineRule="auto"/>
        <w:ind w:firstLine="851"/>
        <w:jc w:val="both"/>
        <w:rPr>
          <w:rFonts w:ascii="Helvetica Light" w:hAnsi="Helvetica Light"/>
        </w:rPr>
      </w:pPr>
    </w:p>
    <w:p w14:paraId="79DF0808"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 xml:space="preserve">O primeiro é o dever de </w:t>
      </w:r>
      <w:r w:rsidRPr="006134F0">
        <w:rPr>
          <w:rFonts w:ascii="Helvetica Light" w:hAnsi="Helvetica Light"/>
          <w:b/>
          <w:bCs/>
        </w:rPr>
        <w:t>verificação</w:t>
      </w:r>
      <w:r w:rsidRPr="006134F0">
        <w:rPr>
          <w:rFonts w:ascii="Helvetica Light" w:hAnsi="Helvetica Light"/>
        </w:rPr>
        <w:t>. O advogado não pode transportar para uma petição, parecer, contrato ou manifestação processual uma resposta produzida por IA sem conferência técnica. Precedentes devem ser checados. Dispositivos legais devem ser confirmados. Dados processuais devem ser validados. Citações doutrinárias devem ser verificadas. O erro da ferramenta não exonera a responsabilidade de quem utiliza o resultado.</w:t>
      </w:r>
    </w:p>
    <w:p w14:paraId="395E5B15" w14:textId="77777777" w:rsidR="006134F0" w:rsidRPr="006134F0" w:rsidRDefault="006134F0" w:rsidP="006134F0">
      <w:pPr>
        <w:spacing w:after="0" w:line="360" w:lineRule="auto"/>
        <w:ind w:firstLine="851"/>
        <w:jc w:val="both"/>
        <w:rPr>
          <w:rFonts w:ascii="Helvetica Light" w:hAnsi="Helvetica Light"/>
        </w:rPr>
      </w:pPr>
    </w:p>
    <w:p w14:paraId="7C44267F"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 xml:space="preserve">O segundo é o dever de </w:t>
      </w:r>
      <w:r w:rsidRPr="006134F0">
        <w:rPr>
          <w:rFonts w:ascii="Helvetica Light" w:hAnsi="Helvetica Light"/>
          <w:b/>
          <w:bCs/>
        </w:rPr>
        <w:t>sigilo e proteção de dados</w:t>
      </w:r>
      <w:r w:rsidRPr="006134F0">
        <w:rPr>
          <w:rFonts w:ascii="Helvetica Light" w:hAnsi="Helvetica Light"/>
        </w:rPr>
        <w:t>. A relação entre advogado e cliente é fundada em confiança. Inserir documentos, estratégias, informações sensíveis ou dados pessoais em ferramentas externas de IA sem avaliação de segurança, finalidade, retenção, compartilhamento e conformidade legal pode comprometer o núcleo da profissão. A tecnologia não elimina o sigilo profissional; ao contrário, exige novas formas de protegê-lo.</w:t>
      </w:r>
    </w:p>
    <w:p w14:paraId="65C868E6" w14:textId="77777777" w:rsidR="006134F0" w:rsidRPr="006134F0" w:rsidRDefault="006134F0" w:rsidP="006134F0">
      <w:pPr>
        <w:spacing w:after="0" w:line="360" w:lineRule="auto"/>
        <w:ind w:firstLine="851"/>
        <w:jc w:val="both"/>
        <w:rPr>
          <w:rFonts w:ascii="Helvetica Light" w:hAnsi="Helvetica Light"/>
        </w:rPr>
      </w:pPr>
    </w:p>
    <w:p w14:paraId="5D85BF42"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 xml:space="preserve">O terceiro é o dever de </w:t>
      </w:r>
      <w:r w:rsidRPr="006134F0">
        <w:rPr>
          <w:rFonts w:ascii="Helvetica Light" w:hAnsi="Helvetica Light"/>
          <w:b/>
          <w:bCs/>
        </w:rPr>
        <w:t>independência técnica</w:t>
      </w:r>
      <w:r w:rsidRPr="006134F0">
        <w:rPr>
          <w:rFonts w:ascii="Helvetica Light" w:hAnsi="Helvetica Light"/>
        </w:rPr>
        <w:t>. O advogado não deve se transformar em operador passivo de respostas automatizadas. A IA pode sugerir, mas não deliberar. Pode auxiliar, mas não substituir a interpretação jurídica. Pode organizar informações, mas não exercer prudência, sensibilidade institucional ou responsabilidade ética.</w:t>
      </w:r>
    </w:p>
    <w:p w14:paraId="79E3F8CE" w14:textId="77777777" w:rsidR="006134F0" w:rsidRPr="006134F0" w:rsidRDefault="006134F0" w:rsidP="006134F0">
      <w:pPr>
        <w:spacing w:after="0" w:line="360" w:lineRule="auto"/>
        <w:ind w:firstLine="851"/>
        <w:jc w:val="both"/>
        <w:rPr>
          <w:rFonts w:ascii="Helvetica Light" w:hAnsi="Helvetica Light"/>
        </w:rPr>
      </w:pPr>
    </w:p>
    <w:p w14:paraId="6F07412F" w14:textId="77777777" w:rsidR="006134F0" w:rsidRPr="006134F0" w:rsidRDefault="006134F0" w:rsidP="006134F0">
      <w:pPr>
        <w:spacing w:after="0" w:line="360" w:lineRule="auto"/>
        <w:ind w:firstLine="851"/>
        <w:jc w:val="both"/>
        <w:rPr>
          <w:rFonts w:ascii="Helvetica Light" w:hAnsi="Helvetica Light"/>
        </w:rPr>
      </w:pPr>
      <w:r w:rsidRPr="006134F0">
        <w:rPr>
          <w:rFonts w:ascii="Helvetica Light" w:hAnsi="Helvetica Light"/>
        </w:rPr>
        <w:t xml:space="preserve">O quarto é o dever de </w:t>
      </w:r>
      <w:r w:rsidRPr="006134F0">
        <w:rPr>
          <w:rFonts w:ascii="Helvetica Light" w:hAnsi="Helvetica Light"/>
          <w:b/>
          <w:bCs/>
        </w:rPr>
        <w:t>transparência compatível com o caso concreto</w:t>
      </w:r>
      <w:r w:rsidRPr="006134F0">
        <w:rPr>
          <w:rFonts w:ascii="Helvetica Light" w:hAnsi="Helvetica Light"/>
        </w:rPr>
        <w:t xml:space="preserve">. A Recomendação nº 001/2024 inclui a comunicação sobre o uso de IA generativa entre seus pilares, justamente porque o cliente tem direito a </w:t>
      </w:r>
      <w:r w:rsidRPr="006134F0">
        <w:rPr>
          <w:rFonts w:ascii="Helvetica Light" w:hAnsi="Helvetica Light"/>
        </w:rPr>
        <w:lastRenderedPageBreak/>
        <w:t xml:space="preserve">compreender, em linguagem clara, quando e como ferramentas desse tipo podem afetar a prestação do serviço jurídico. </w:t>
      </w:r>
    </w:p>
    <w:p w14:paraId="5F8EA85A" w14:textId="77777777" w:rsidR="006134F0" w:rsidRPr="006134F0" w:rsidRDefault="006134F0" w:rsidP="006134F0">
      <w:pPr>
        <w:spacing w:after="0" w:line="360" w:lineRule="auto"/>
        <w:ind w:firstLine="851"/>
        <w:jc w:val="both"/>
        <w:rPr>
          <w:rFonts w:ascii="Helvetica Light" w:hAnsi="Helvetica Light"/>
        </w:rPr>
      </w:pPr>
    </w:p>
    <w:p w14:paraId="45FCBF84"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 xml:space="preserve">O quinto é o dever de </w:t>
      </w:r>
      <w:r w:rsidRPr="006134F0">
        <w:rPr>
          <w:rFonts w:ascii="Helvetica Light" w:hAnsi="Helvetica Light"/>
          <w:b/>
          <w:bCs/>
        </w:rPr>
        <w:t>capacitação permanente</w:t>
      </w:r>
      <w:r w:rsidRPr="006134F0">
        <w:rPr>
          <w:rFonts w:ascii="Helvetica Light" w:hAnsi="Helvetica Light"/>
        </w:rPr>
        <w:t>. O uso ético da IA pressupõe conhecimento mínimo sobre suas potencialidades, limitações e riscos. Não basta aderir à novidade tecnológica. É preciso compreender seus impactos sobre confidencialidade, qualidade técnica, vieses, segurança da informação, propriedade intelectual, privacidade e responsabilidade profissional.</w:t>
      </w:r>
    </w:p>
    <w:p w14:paraId="38EB18BA" w14:textId="77777777" w:rsidR="006134F0" w:rsidRPr="006134F0" w:rsidRDefault="006134F0" w:rsidP="006134F0">
      <w:pPr>
        <w:spacing w:after="0" w:line="360" w:lineRule="auto"/>
        <w:ind w:firstLine="851"/>
        <w:jc w:val="both"/>
        <w:rPr>
          <w:rFonts w:ascii="Helvetica Light" w:hAnsi="Helvetica Light"/>
        </w:rPr>
      </w:pPr>
    </w:p>
    <w:p w14:paraId="0C4BFAC1"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A advocacia, portanto, não deve reagir à inteligência artificial com medo, nem com encantamento acrítico. O caminho adequado é o da prudência institucional.</w:t>
      </w:r>
    </w:p>
    <w:p w14:paraId="2AFF7999" w14:textId="77777777" w:rsidR="006134F0" w:rsidRPr="006134F0" w:rsidRDefault="006134F0" w:rsidP="006134F0">
      <w:pPr>
        <w:spacing w:after="0" w:line="360" w:lineRule="auto"/>
        <w:ind w:firstLine="851"/>
        <w:jc w:val="both"/>
        <w:rPr>
          <w:rFonts w:ascii="Helvetica Light" w:hAnsi="Helvetica Light"/>
        </w:rPr>
      </w:pPr>
    </w:p>
    <w:p w14:paraId="59DF82BF"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 xml:space="preserve">A </w:t>
      </w:r>
      <w:r w:rsidRPr="006134F0">
        <w:rPr>
          <w:rFonts w:ascii="Helvetica Light" w:hAnsi="Helvetica Light"/>
          <w:i/>
          <w:iCs/>
        </w:rPr>
        <w:t>Magnifica Humanitas</w:t>
      </w:r>
      <w:r w:rsidRPr="006134F0">
        <w:rPr>
          <w:rFonts w:ascii="Helvetica Light" w:hAnsi="Helvetica Light"/>
        </w:rPr>
        <w:t xml:space="preserve"> oferece uma expressão forte: é preciso “desarmar” a IA. Desarmar não significa renunciar à tecnologia, mas impedir que ela domine o ser humano; significa torná-la discutível, contestável e habitável, devolvendo-a à pluralidade das culturas humanas e formas de vida. </w:t>
      </w:r>
    </w:p>
    <w:p w14:paraId="6A01EA64" w14:textId="77777777" w:rsidR="006134F0" w:rsidRPr="006134F0" w:rsidRDefault="006134F0" w:rsidP="006134F0">
      <w:pPr>
        <w:spacing w:after="0" w:line="360" w:lineRule="auto"/>
        <w:ind w:firstLine="851"/>
        <w:jc w:val="both"/>
        <w:rPr>
          <w:rFonts w:ascii="Helvetica Light" w:hAnsi="Helvetica Light"/>
        </w:rPr>
      </w:pPr>
    </w:p>
    <w:p w14:paraId="6EA7C1E9"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Para a advocacia, “desarmar a IA” significa submetê-la à ética profissional. Significa impedir que a busca por produtividade transforme o cliente em dado, o processo em linha de montagem e a defesa em produto automatizado. Significa reafirmar que a tecnologia deve servir à Justiça, e não substituir o discernimento humano que a Justiça exige.</w:t>
      </w:r>
    </w:p>
    <w:p w14:paraId="53F9DB7A" w14:textId="77777777" w:rsidR="006134F0" w:rsidRPr="006134F0" w:rsidRDefault="006134F0" w:rsidP="006134F0">
      <w:pPr>
        <w:spacing w:after="0" w:line="360" w:lineRule="auto"/>
        <w:ind w:firstLine="851"/>
        <w:jc w:val="both"/>
        <w:rPr>
          <w:rFonts w:ascii="Helvetica Light" w:hAnsi="Helvetica Light"/>
        </w:rPr>
      </w:pPr>
    </w:p>
    <w:p w14:paraId="34C6F065"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 xml:space="preserve">O episódio envolvendo </w:t>
      </w:r>
      <w:r w:rsidRPr="006134F0">
        <w:rPr>
          <w:rFonts w:ascii="Helvetica Light" w:hAnsi="Helvetica Light"/>
          <w:i/>
          <w:iCs/>
        </w:rPr>
        <w:t xml:space="preserve">prompt </w:t>
      </w:r>
      <w:proofErr w:type="spellStart"/>
      <w:r w:rsidRPr="006134F0">
        <w:rPr>
          <w:rFonts w:ascii="Helvetica Light" w:hAnsi="Helvetica Light"/>
          <w:i/>
          <w:iCs/>
        </w:rPr>
        <w:t>injection</w:t>
      </w:r>
      <w:proofErr w:type="spellEnd"/>
      <w:r w:rsidRPr="006134F0">
        <w:rPr>
          <w:rFonts w:ascii="Helvetica Light" w:hAnsi="Helvetica Light"/>
        </w:rPr>
        <w:t>, visto por essa perspectiva, não precisa ser tratado como prova definitiva de vulnerabilidade técnica. Ele deve ser compreendido como sinal de alerta sobre algo mais profundo: a necessidade de a advocacia estabelecer uma cultura responsável de uso da IA.</w:t>
      </w:r>
    </w:p>
    <w:p w14:paraId="62861E52" w14:textId="77777777" w:rsidR="006134F0" w:rsidRPr="006134F0" w:rsidRDefault="006134F0" w:rsidP="006134F0">
      <w:pPr>
        <w:spacing w:after="0" w:line="360" w:lineRule="auto"/>
        <w:ind w:firstLine="851"/>
        <w:jc w:val="both"/>
        <w:rPr>
          <w:rFonts w:ascii="Helvetica Light" w:hAnsi="Helvetica Light"/>
        </w:rPr>
      </w:pPr>
    </w:p>
    <w:p w14:paraId="4F0129FB"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Essa cultura passa por políticas internas nos escritórios, orientação de equipes, revisão humana obrigatória, cuidado com dados confidenciais, escolha criteriosa de ferramentas, documentação de procedimentos, consentimento informado quando necessário e respeito permanente aos deveres éticos da profissão.</w:t>
      </w:r>
    </w:p>
    <w:p w14:paraId="7036F3CC" w14:textId="77777777" w:rsidR="006134F0" w:rsidRPr="006134F0" w:rsidRDefault="006134F0" w:rsidP="006134F0">
      <w:pPr>
        <w:spacing w:after="0" w:line="360" w:lineRule="auto"/>
        <w:ind w:firstLine="851"/>
        <w:jc w:val="both"/>
        <w:rPr>
          <w:rFonts w:ascii="Helvetica Light" w:hAnsi="Helvetica Light"/>
        </w:rPr>
      </w:pPr>
    </w:p>
    <w:p w14:paraId="7AB47379"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 xml:space="preserve">A OAB tem papel decisivo nesse processo. Cabe à Ordem orientar, fiscalizar, capacitar e liderar o debate público sobre o uso da inteligência </w:t>
      </w:r>
      <w:r w:rsidRPr="006134F0">
        <w:rPr>
          <w:rFonts w:ascii="Helvetica Light" w:hAnsi="Helvetica Light"/>
        </w:rPr>
        <w:lastRenderedPageBreak/>
        <w:t>artificial na advocacia e no sistema de Justiça. A Recomendação nº 001/2024 é um passo importante nesse caminho, porque afirma que inovação e ética não são valores opostos. Ao contrário: a inovação só é legítima quando preserva a confiança, a dignidade e a responsabilidade.</w:t>
      </w:r>
    </w:p>
    <w:p w14:paraId="66845917" w14:textId="77777777" w:rsidR="006134F0" w:rsidRPr="006134F0" w:rsidRDefault="006134F0" w:rsidP="006134F0">
      <w:pPr>
        <w:spacing w:after="0" w:line="360" w:lineRule="auto"/>
        <w:ind w:firstLine="851"/>
        <w:jc w:val="both"/>
        <w:rPr>
          <w:rFonts w:ascii="Helvetica Light" w:hAnsi="Helvetica Light"/>
        </w:rPr>
      </w:pPr>
    </w:p>
    <w:p w14:paraId="77BEDB5F"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A Justiça do futuro não será melhor apenas porque será mais rápida ou mais automatizada. Será melhor se continuar humana. Será melhor se a tecnologia fortalecer, e não enfraquecer, a defesa de direitos. Será melhor se a advocacia souber utilizar novos instrumentos sem abandonar antigos compromissos: verdade, lealdade, sigilo, independência, prudência e coragem.</w:t>
      </w:r>
    </w:p>
    <w:p w14:paraId="785C5083" w14:textId="77777777" w:rsidR="006134F0" w:rsidRPr="006134F0" w:rsidRDefault="006134F0" w:rsidP="006134F0">
      <w:pPr>
        <w:spacing w:after="0" w:line="360" w:lineRule="auto"/>
        <w:ind w:firstLine="851"/>
        <w:jc w:val="both"/>
        <w:rPr>
          <w:rFonts w:ascii="Helvetica Light" w:hAnsi="Helvetica Light"/>
        </w:rPr>
      </w:pPr>
    </w:p>
    <w:p w14:paraId="6FF2B36F"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Entre Babel e a construção do bem comum, a advocacia brasileira deve escolher o caminho da responsabilidade.</w:t>
      </w:r>
    </w:p>
    <w:p w14:paraId="2262EDEE" w14:textId="77777777" w:rsidR="006134F0" w:rsidRPr="006134F0" w:rsidRDefault="006134F0" w:rsidP="006134F0">
      <w:pPr>
        <w:spacing w:after="0" w:line="360" w:lineRule="auto"/>
        <w:ind w:firstLine="851"/>
        <w:jc w:val="both"/>
        <w:rPr>
          <w:rFonts w:ascii="Helvetica Light" w:hAnsi="Helvetica Light"/>
        </w:rPr>
      </w:pPr>
    </w:p>
    <w:p w14:paraId="4CDAA721" w14:textId="77777777" w:rsidR="006134F0" w:rsidRDefault="006134F0" w:rsidP="006134F0">
      <w:pPr>
        <w:spacing w:after="0" w:line="360" w:lineRule="auto"/>
        <w:ind w:firstLine="851"/>
        <w:jc w:val="both"/>
        <w:rPr>
          <w:rFonts w:ascii="Helvetica Light" w:hAnsi="Helvetica Light"/>
        </w:rPr>
      </w:pPr>
      <w:r w:rsidRPr="006134F0">
        <w:rPr>
          <w:rFonts w:ascii="Helvetica Light" w:hAnsi="Helvetica Light"/>
        </w:rPr>
        <w:t>A inteligência artificial pode e deve ser utilizada. Mas deve ser utilizada como instrumento a serviço da pessoa humana, da cidadania e da Justiça.</w:t>
      </w:r>
    </w:p>
    <w:p w14:paraId="08ADDEE7" w14:textId="77777777" w:rsidR="006134F0" w:rsidRPr="006134F0" w:rsidRDefault="006134F0" w:rsidP="006134F0">
      <w:pPr>
        <w:spacing w:after="0" w:line="360" w:lineRule="auto"/>
        <w:ind w:firstLine="851"/>
        <w:jc w:val="both"/>
        <w:rPr>
          <w:rFonts w:ascii="Helvetica Light" w:hAnsi="Helvetica Light"/>
        </w:rPr>
      </w:pPr>
    </w:p>
    <w:p w14:paraId="1A419340" w14:textId="114CEF88" w:rsidR="000E32CE" w:rsidRPr="00CE5407" w:rsidRDefault="006134F0" w:rsidP="00CE5407">
      <w:pPr>
        <w:spacing w:after="0" w:line="360" w:lineRule="auto"/>
        <w:ind w:firstLine="851"/>
        <w:jc w:val="both"/>
        <w:rPr>
          <w:rFonts w:ascii="Helvetica Light" w:hAnsi="Helvetica Light"/>
        </w:rPr>
      </w:pPr>
      <w:r w:rsidRPr="006134F0">
        <w:rPr>
          <w:rFonts w:ascii="Helvetica Light" w:hAnsi="Helvetica Light"/>
          <w:b/>
          <w:bCs/>
        </w:rPr>
        <w:t>Na era da inteligência artificial, a ética não é obstáculo à inovação. É a condição de legitimidade do seu uso pela advocacia.</w:t>
      </w:r>
    </w:p>
    <w:sectPr w:rsidR="000E32CE" w:rsidRPr="00CE540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9DF4" w14:textId="77777777" w:rsidR="00AA7F31" w:rsidRDefault="00AA7F31" w:rsidP="00CE5407">
      <w:pPr>
        <w:spacing w:after="0" w:line="240" w:lineRule="auto"/>
      </w:pPr>
      <w:r>
        <w:separator/>
      </w:r>
    </w:p>
  </w:endnote>
  <w:endnote w:type="continuationSeparator" w:id="0">
    <w:p w14:paraId="67D1279D" w14:textId="77777777" w:rsidR="00AA7F31" w:rsidRDefault="00AA7F31" w:rsidP="00CE5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Light">
    <w:panose1 w:val="020B0403020202020204"/>
    <w:charset w:val="00"/>
    <w:family w:val="swiss"/>
    <w:pitch w:val="variable"/>
    <w:sig w:usb0="800000AF" w:usb1="4000204A" w:usb2="00000000" w:usb3="00000000" w:csb0="00000001"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0749" w14:textId="77777777" w:rsidR="00AA7F31" w:rsidRDefault="00AA7F31" w:rsidP="00CE5407">
      <w:pPr>
        <w:spacing w:after="0" w:line="240" w:lineRule="auto"/>
      </w:pPr>
      <w:r>
        <w:separator/>
      </w:r>
    </w:p>
  </w:footnote>
  <w:footnote w:type="continuationSeparator" w:id="0">
    <w:p w14:paraId="0A7618A9" w14:textId="77777777" w:rsidR="00AA7F31" w:rsidRDefault="00AA7F31" w:rsidP="00CE5407">
      <w:pPr>
        <w:spacing w:after="0" w:line="240" w:lineRule="auto"/>
      </w:pPr>
      <w:r>
        <w:continuationSeparator/>
      </w:r>
    </w:p>
  </w:footnote>
  <w:footnote w:id="1">
    <w:p w14:paraId="3FD9F659" w14:textId="37295AE3" w:rsidR="00CE5407" w:rsidRDefault="00CE5407" w:rsidP="00CE5407">
      <w:pPr>
        <w:pStyle w:val="p1"/>
        <w:jc w:val="both"/>
        <w:rPr>
          <w:rStyle w:val="s1"/>
          <w:rFonts w:ascii="Helvetica Light" w:hAnsi="Helvetica Light"/>
          <w:sz w:val="21"/>
          <w:szCs w:val="21"/>
        </w:rPr>
      </w:pPr>
      <w:r w:rsidRPr="00CE5407">
        <w:rPr>
          <w:rStyle w:val="Refdenotaderodap"/>
          <w:rFonts w:ascii="Helvetica Light" w:hAnsi="Helvetica Light"/>
          <w:sz w:val="21"/>
          <w:szCs w:val="21"/>
        </w:rPr>
        <w:footnoteRef/>
      </w:r>
      <w:r w:rsidRPr="00CE5407">
        <w:rPr>
          <w:rFonts w:ascii="Helvetica Light" w:hAnsi="Helvetica Light"/>
          <w:sz w:val="21"/>
          <w:szCs w:val="21"/>
        </w:rPr>
        <w:t xml:space="preserve"> </w:t>
      </w:r>
      <w:r w:rsidRPr="00CE5407">
        <w:rPr>
          <w:rStyle w:val="s1"/>
          <w:rFonts w:ascii="Helvetica Light" w:hAnsi="Helvetica Light"/>
          <w:sz w:val="21"/>
          <w:szCs w:val="21"/>
        </w:rPr>
        <w:t>Membro do Instituo dos Advogados do Brasil – IAB, integrando as Comissões de</w:t>
      </w:r>
      <w:r>
        <w:rPr>
          <w:rStyle w:val="s1"/>
          <w:rFonts w:ascii="Helvetica Light" w:hAnsi="Helvetica Light"/>
          <w:sz w:val="21"/>
          <w:szCs w:val="21"/>
        </w:rPr>
        <w:t xml:space="preserve"> </w:t>
      </w:r>
      <w:r w:rsidRPr="00CE5407">
        <w:rPr>
          <w:rStyle w:val="s1"/>
          <w:rFonts w:ascii="Helvetica Light" w:hAnsi="Helvetica Light"/>
          <w:sz w:val="21"/>
          <w:szCs w:val="21"/>
        </w:rPr>
        <w:t>Direito Constitucional e Eleitoral; membro e Conselheiro Fiscal da Academia</w:t>
      </w:r>
      <w:r>
        <w:rPr>
          <w:rStyle w:val="s1"/>
          <w:rFonts w:ascii="Helvetica Light" w:hAnsi="Helvetica Light"/>
          <w:sz w:val="21"/>
          <w:szCs w:val="21"/>
        </w:rPr>
        <w:t xml:space="preserve"> </w:t>
      </w:r>
      <w:r w:rsidRPr="00CE5407">
        <w:rPr>
          <w:rStyle w:val="s1"/>
          <w:rFonts w:ascii="Helvetica Light" w:hAnsi="Helvetica Light"/>
          <w:sz w:val="21"/>
          <w:szCs w:val="21"/>
        </w:rPr>
        <w:t>Brasileira de Direito Eleitoral e Político – ABRADEP; Conselheiro Seccional e Vice-Presidente da Comissão de Defesa das Prerrogativas da Ordem dos Advogados</w:t>
      </w:r>
      <w:r>
        <w:rPr>
          <w:rStyle w:val="s1"/>
          <w:rFonts w:ascii="Helvetica Light" w:hAnsi="Helvetica Light"/>
          <w:sz w:val="21"/>
          <w:szCs w:val="21"/>
        </w:rPr>
        <w:t xml:space="preserve"> </w:t>
      </w:r>
      <w:r w:rsidRPr="00CE5407">
        <w:rPr>
          <w:rStyle w:val="s1"/>
          <w:rFonts w:ascii="Helvetica Light" w:hAnsi="Helvetica Light"/>
          <w:sz w:val="21"/>
          <w:szCs w:val="21"/>
        </w:rPr>
        <w:t>do Brasil Seccional Rondônia – OAB/RO; especialista em Direito e Processo</w:t>
      </w:r>
      <w:r>
        <w:rPr>
          <w:rStyle w:val="s1"/>
          <w:rFonts w:ascii="Helvetica Light" w:hAnsi="Helvetica Light"/>
          <w:sz w:val="21"/>
          <w:szCs w:val="21"/>
        </w:rPr>
        <w:t xml:space="preserve"> </w:t>
      </w:r>
      <w:r w:rsidRPr="00CE5407">
        <w:rPr>
          <w:rStyle w:val="s1"/>
          <w:rFonts w:ascii="Helvetica Light" w:hAnsi="Helvetica Light"/>
          <w:sz w:val="21"/>
          <w:szCs w:val="21"/>
        </w:rPr>
        <w:t>Eleitoral pela Escola Judicial Eleitoral de Rondônia do Tribunal Regional Eleitoral de</w:t>
      </w:r>
      <w:r>
        <w:rPr>
          <w:rStyle w:val="s1"/>
          <w:rFonts w:ascii="Helvetica Light" w:hAnsi="Helvetica Light"/>
          <w:sz w:val="21"/>
          <w:szCs w:val="21"/>
        </w:rPr>
        <w:t xml:space="preserve"> </w:t>
      </w:r>
      <w:r w:rsidRPr="00CE5407">
        <w:rPr>
          <w:rStyle w:val="s1"/>
          <w:rFonts w:ascii="Helvetica Light" w:hAnsi="Helvetica Light"/>
          <w:sz w:val="21"/>
          <w:szCs w:val="21"/>
        </w:rPr>
        <w:t>Rondônia EJE-TRE/RO e em Advocacia Pública pelo Centro de Direitos Humanos</w:t>
      </w:r>
      <w:r>
        <w:rPr>
          <w:rStyle w:val="s1"/>
          <w:rFonts w:ascii="Helvetica Light" w:hAnsi="Helvetica Light"/>
          <w:sz w:val="21"/>
          <w:szCs w:val="21"/>
        </w:rPr>
        <w:t xml:space="preserve"> </w:t>
      </w:r>
      <w:r w:rsidRPr="00CE5407">
        <w:rPr>
          <w:rStyle w:val="s1"/>
          <w:rFonts w:ascii="Helvetica Light" w:hAnsi="Helvetica Light"/>
          <w:sz w:val="21"/>
          <w:szCs w:val="21"/>
        </w:rPr>
        <w:t>da Universidade de Coimbra.</w:t>
      </w:r>
    </w:p>
    <w:p w14:paraId="60FDC161" w14:textId="77777777" w:rsidR="00CE5407" w:rsidRDefault="00CE5407" w:rsidP="00CE5407">
      <w:pPr>
        <w:pStyle w:val="p1"/>
        <w:jc w:val="both"/>
      </w:pPr>
    </w:p>
  </w:footnote>
  <w:footnote w:id="2">
    <w:p w14:paraId="67196D96" w14:textId="3598A72B" w:rsidR="00CE5407" w:rsidRPr="00CE5407" w:rsidRDefault="00CE5407" w:rsidP="00CE5407">
      <w:pPr>
        <w:pStyle w:val="Textodenotaderodap"/>
        <w:jc w:val="both"/>
        <w:rPr>
          <w:rFonts w:ascii="Helvetica Light" w:hAnsi="Helvetica Light"/>
          <w:sz w:val="21"/>
          <w:szCs w:val="21"/>
        </w:rPr>
      </w:pPr>
      <w:r w:rsidRPr="00CE5407">
        <w:rPr>
          <w:rStyle w:val="Refdenotaderodap"/>
          <w:rFonts w:ascii="Helvetica Light" w:hAnsi="Helvetica Light"/>
          <w:sz w:val="21"/>
          <w:szCs w:val="21"/>
        </w:rPr>
        <w:footnoteRef/>
      </w:r>
      <w:r w:rsidRPr="00CE5407">
        <w:rPr>
          <w:rFonts w:ascii="Helvetica Light" w:hAnsi="Helvetica Light"/>
          <w:sz w:val="21"/>
          <w:szCs w:val="21"/>
        </w:rPr>
        <w:t xml:space="preserve"> </w:t>
      </w:r>
      <w:proofErr w:type="spellStart"/>
      <w:r w:rsidR="000E32CE" w:rsidRPr="000E32CE">
        <w:rPr>
          <w:rFonts w:ascii="Helvetica Light" w:hAnsi="Helvetica Light"/>
          <w:i/>
          <w:iCs/>
          <w:sz w:val="21"/>
          <w:szCs w:val="21"/>
        </w:rPr>
        <w:t>Cf</w:t>
      </w:r>
      <w:proofErr w:type="spellEnd"/>
      <w:r w:rsidR="000E32CE" w:rsidRPr="000E32CE">
        <w:rPr>
          <w:rFonts w:ascii="Helvetica Light" w:hAnsi="Helvetica Light"/>
          <w:i/>
          <w:iCs/>
          <w:sz w:val="21"/>
          <w:szCs w:val="21"/>
        </w:rPr>
        <w:t>:</w:t>
      </w:r>
      <w:r w:rsidR="000E32CE">
        <w:rPr>
          <w:rFonts w:ascii="Helvetica Light" w:hAnsi="Helvetica Light"/>
          <w:sz w:val="21"/>
          <w:szCs w:val="21"/>
        </w:rPr>
        <w:t xml:space="preserve"> </w:t>
      </w:r>
      <w:hyperlink r:id="rId1" w:history="1">
        <w:r w:rsidR="000E32CE" w:rsidRPr="00FE236A">
          <w:rPr>
            <w:rStyle w:val="Hyperlink"/>
            <w:rFonts w:ascii="Helvetica Light" w:hAnsi="Helvetica Light"/>
            <w:sz w:val="21"/>
            <w:szCs w:val="21"/>
          </w:rPr>
          <w:t>https://owasp.org/www-community/attacks/PromptInjection</w:t>
        </w:r>
      </w:hyperlink>
      <w:r w:rsidRPr="00CE5407">
        <w:rPr>
          <w:rFonts w:ascii="Helvetica Light" w:hAnsi="Helvetica Light"/>
          <w:sz w:val="21"/>
          <w:szCs w:val="21"/>
        </w:rPr>
        <w:t xml:space="preserve"> </w:t>
      </w:r>
    </w:p>
  </w:footnote>
  <w:footnote w:id="3">
    <w:p w14:paraId="2F90D1CE" w14:textId="392A900B" w:rsidR="00CE5407" w:rsidRPr="00CE5407" w:rsidRDefault="00CE5407" w:rsidP="000E32CE">
      <w:pPr>
        <w:pStyle w:val="Textodenotaderodap"/>
        <w:jc w:val="both"/>
        <w:rPr>
          <w:rFonts w:ascii="Helvetica Light" w:hAnsi="Helvetica Light"/>
          <w:sz w:val="21"/>
          <w:szCs w:val="21"/>
        </w:rPr>
      </w:pPr>
      <w:r w:rsidRPr="00CE5407">
        <w:rPr>
          <w:rStyle w:val="Refdenotaderodap"/>
          <w:rFonts w:ascii="Helvetica Light" w:hAnsi="Helvetica Light"/>
          <w:sz w:val="21"/>
          <w:szCs w:val="21"/>
        </w:rPr>
        <w:footnoteRef/>
      </w:r>
      <w:r w:rsidR="000E32CE">
        <w:rPr>
          <w:rFonts w:ascii="Helvetica Light" w:hAnsi="Helvetica Light"/>
          <w:sz w:val="21"/>
          <w:szCs w:val="21"/>
        </w:rPr>
        <w:t xml:space="preserve"> </w:t>
      </w:r>
      <w:proofErr w:type="spellStart"/>
      <w:r w:rsidR="000E32CE" w:rsidRPr="000E32CE">
        <w:rPr>
          <w:rFonts w:ascii="Helvetica Light" w:hAnsi="Helvetica Light"/>
          <w:i/>
          <w:iCs/>
          <w:sz w:val="21"/>
          <w:szCs w:val="21"/>
        </w:rPr>
        <w:t>Cf</w:t>
      </w:r>
      <w:proofErr w:type="spellEnd"/>
      <w:r w:rsidR="000E32CE" w:rsidRPr="000E32CE">
        <w:rPr>
          <w:rFonts w:ascii="Helvetica Light" w:hAnsi="Helvetica Light"/>
          <w:i/>
          <w:iCs/>
          <w:sz w:val="21"/>
          <w:szCs w:val="21"/>
        </w:rPr>
        <w:t>:</w:t>
      </w:r>
      <w:r w:rsidR="000E32CE">
        <w:rPr>
          <w:rFonts w:ascii="Helvetica Light" w:hAnsi="Helvetica Light"/>
          <w:i/>
          <w:iCs/>
          <w:sz w:val="21"/>
          <w:szCs w:val="21"/>
        </w:rPr>
        <w:t xml:space="preserve"> </w:t>
      </w:r>
      <w:hyperlink r:id="rId2" w:history="1">
        <w:r w:rsidRPr="00CE5407">
          <w:rPr>
            <w:rStyle w:val="Hyperlink"/>
            <w:rFonts w:ascii="Helvetica Light" w:hAnsi="Helvetica Light"/>
            <w:sz w:val="21"/>
            <w:szCs w:val="21"/>
          </w:rPr>
          <w:t>https://www.vatican.va/content/leo-xiv/pt/encyclicals/documents/20260515-magnifica-humanitas.html</w:t>
        </w:r>
      </w:hyperlink>
      <w:r w:rsidRPr="00CE5407">
        <w:rPr>
          <w:rFonts w:ascii="Helvetica Light" w:hAnsi="Helvetica Light"/>
          <w:sz w:val="21"/>
          <w:szCs w:val="21"/>
        </w:rPr>
        <w:t xml:space="preserve"> </w:t>
      </w:r>
    </w:p>
  </w:footnote>
  <w:footnote w:id="4">
    <w:p w14:paraId="0B2DC8EF" w14:textId="61A93442" w:rsidR="000E32CE" w:rsidRPr="000E32CE" w:rsidRDefault="000E32CE" w:rsidP="000E32CE">
      <w:pPr>
        <w:pStyle w:val="Textodenotaderodap"/>
        <w:jc w:val="both"/>
        <w:rPr>
          <w:rFonts w:ascii="Helvetica Light" w:hAnsi="Helvetica Light"/>
          <w:sz w:val="21"/>
          <w:szCs w:val="21"/>
        </w:rPr>
      </w:pPr>
      <w:r w:rsidRPr="000E32CE">
        <w:rPr>
          <w:rStyle w:val="Refdenotaderodap"/>
          <w:rFonts w:ascii="Helvetica Light" w:hAnsi="Helvetica Light"/>
          <w:sz w:val="21"/>
          <w:szCs w:val="21"/>
        </w:rPr>
        <w:footnoteRef/>
      </w:r>
      <w:r>
        <w:rPr>
          <w:rFonts w:ascii="Helvetica Light" w:hAnsi="Helvetica Light"/>
          <w:sz w:val="21"/>
          <w:szCs w:val="21"/>
        </w:rPr>
        <w:t xml:space="preserve"> </w:t>
      </w:r>
      <w:proofErr w:type="spellStart"/>
      <w:r w:rsidRPr="000E32CE">
        <w:rPr>
          <w:rFonts w:ascii="Helvetica Light" w:hAnsi="Helvetica Light"/>
          <w:i/>
          <w:iCs/>
          <w:sz w:val="21"/>
          <w:szCs w:val="21"/>
        </w:rPr>
        <w:t>Cf</w:t>
      </w:r>
      <w:proofErr w:type="spellEnd"/>
      <w:r w:rsidRPr="000E32CE">
        <w:rPr>
          <w:rFonts w:ascii="Helvetica Light" w:hAnsi="Helvetica Light"/>
          <w:i/>
          <w:iCs/>
          <w:sz w:val="21"/>
          <w:szCs w:val="21"/>
        </w:rPr>
        <w:t>:</w:t>
      </w:r>
      <w:r w:rsidRPr="000E32CE">
        <w:rPr>
          <w:rFonts w:ascii="Helvetica Light" w:hAnsi="Helvetica Light"/>
          <w:sz w:val="21"/>
          <w:szCs w:val="21"/>
        </w:rPr>
        <w:t xml:space="preserve"> </w:t>
      </w:r>
      <w:hyperlink r:id="rId3" w:history="1">
        <w:r w:rsidRPr="000E32CE">
          <w:rPr>
            <w:rStyle w:val="Hyperlink"/>
            <w:rFonts w:ascii="Helvetica Light" w:hAnsi="Helvetica Light"/>
            <w:sz w:val="21"/>
            <w:szCs w:val="21"/>
          </w:rPr>
          <w:t>https://www.oab.org.br/noticia/62711/confira-versao-final-da-recomendacao-do-cfoab-sobre-o-uso-de-ia-na-pratica-juridica</w:t>
        </w:r>
      </w:hyperlink>
      <w:r w:rsidRPr="000E32CE">
        <w:rPr>
          <w:rFonts w:ascii="Helvetica Light" w:hAnsi="Helvetica Light"/>
          <w:sz w:val="21"/>
          <w:szCs w:val="21"/>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07"/>
    <w:rsid w:val="000D5630"/>
    <w:rsid w:val="000E32CE"/>
    <w:rsid w:val="006134F0"/>
    <w:rsid w:val="00837D75"/>
    <w:rsid w:val="00AA7F31"/>
    <w:rsid w:val="00C87A5F"/>
    <w:rsid w:val="00CE5407"/>
    <w:rsid w:val="00E42E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01667344"/>
  <w15:chartTrackingRefBased/>
  <w15:docId w15:val="{D1896506-4AB1-7346-BE33-3215650F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E5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E5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E54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E54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E54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E54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E54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E54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E540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540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E540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E540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E540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E540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E540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E540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E540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E5407"/>
    <w:rPr>
      <w:rFonts w:eastAsiaTheme="majorEastAsia" w:cstheme="majorBidi"/>
      <w:color w:val="272727" w:themeColor="text1" w:themeTint="D8"/>
    </w:rPr>
  </w:style>
  <w:style w:type="paragraph" w:styleId="Ttulo">
    <w:name w:val="Title"/>
    <w:basedOn w:val="Normal"/>
    <w:next w:val="Normal"/>
    <w:link w:val="TtuloChar"/>
    <w:uiPriority w:val="10"/>
    <w:qFormat/>
    <w:rsid w:val="00CE5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E54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E540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E540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E5407"/>
    <w:pPr>
      <w:spacing w:before="160"/>
      <w:jc w:val="center"/>
    </w:pPr>
    <w:rPr>
      <w:i/>
      <w:iCs/>
      <w:color w:val="404040" w:themeColor="text1" w:themeTint="BF"/>
    </w:rPr>
  </w:style>
  <w:style w:type="character" w:customStyle="1" w:styleId="CitaoChar">
    <w:name w:val="Citação Char"/>
    <w:basedOn w:val="Fontepargpadro"/>
    <w:link w:val="Citao"/>
    <w:uiPriority w:val="29"/>
    <w:rsid w:val="00CE5407"/>
    <w:rPr>
      <w:i/>
      <w:iCs/>
      <w:color w:val="404040" w:themeColor="text1" w:themeTint="BF"/>
    </w:rPr>
  </w:style>
  <w:style w:type="paragraph" w:styleId="PargrafodaLista">
    <w:name w:val="List Paragraph"/>
    <w:basedOn w:val="Normal"/>
    <w:uiPriority w:val="34"/>
    <w:qFormat/>
    <w:rsid w:val="00CE5407"/>
    <w:pPr>
      <w:ind w:left="720"/>
      <w:contextualSpacing/>
    </w:pPr>
  </w:style>
  <w:style w:type="character" w:styleId="nfaseIntensa">
    <w:name w:val="Intense Emphasis"/>
    <w:basedOn w:val="Fontepargpadro"/>
    <w:uiPriority w:val="21"/>
    <w:qFormat/>
    <w:rsid w:val="00CE5407"/>
    <w:rPr>
      <w:i/>
      <w:iCs/>
      <w:color w:val="0F4761" w:themeColor="accent1" w:themeShade="BF"/>
    </w:rPr>
  </w:style>
  <w:style w:type="paragraph" w:styleId="CitaoIntensa">
    <w:name w:val="Intense Quote"/>
    <w:basedOn w:val="Normal"/>
    <w:next w:val="Normal"/>
    <w:link w:val="CitaoIntensaChar"/>
    <w:uiPriority w:val="30"/>
    <w:qFormat/>
    <w:rsid w:val="00CE5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E5407"/>
    <w:rPr>
      <w:i/>
      <w:iCs/>
      <w:color w:val="0F4761" w:themeColor="accent1" w:themeShade="BF"/>
    </w:rPr>
  </w:style>
  <w:style w:type="character" w:styleId="RefernciaIntensa">
    <w:name w:val="Intense Reference"/>
    <w:basedOn w:val="Fontepargpadro"/>
    <w:uiPriority w:val="32"/>
    <w:qFormat/>
    <w:rsid w:val="00CE5407"/>
    <w:rPr>
      <w:b/>
      <w:bCs/>
      <w:smallCaps/>
      <w:color w:val="0F4761" w:themeColor="accent1" w:themeShade="BF"/>
      <w:spacing w:val="5"/>
    </w:rPr>
  </w:style>
  <w:style w:type="paragraph" w:styleId="Textodenotaderodap">
    <w:name w:val="footnote text"/>
    <w:basedOn w:val="Normal"/>
    <w:link w:val="TextodenotaderodapChar"/>
    <w:uiPriority w:val="99"/>
    <w:semiHidden/>
    <w:unhideWhenUsed/>
    <w:rsid w:val="00CE540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5407"/>
    <w:rPr>
      <w:sz w:val="20"/>
      <w:szCs w:val="20"/>
    </w:rPr>
  </w:style>
  <w:style w:type="character" w:styleId="Refdenotaderodap">
    <w:name w:val="footnote reference"/>
    <w:basedOn w:val="Fontepargpadro"/>
    <w:uiPriority w:val="99"/>
    <w:semiHidden/>
    <w:unhideWhenUsed/>
    <w:rsid w:val="00CE5407"/>
    <w:rPr>
      <w:vertAlign w:val="superscript"/>
    </w:rPr>
  </w:style>
  <w:style w:type="paragraph" w:customStyle="1" w:styleId="p1">
    <w:name w:val="p1"/>
    <w:basedOn w:val="Normal"/>
    <w:rsid w:val="00CE5407"/>
    <w:pPr>
      <w:spacing w:after="0" w:line="240" w:lineRule="auto"/>
    </w:pPr>
    <w:rPr>
      <w:rFonts w:ascii="Helvetica" w:eastAsia="Times New Roman" w:hAnsi="Helvetica" w:cs="Times New Roman"/>
      <w:color w:val="000000"/>
      <w:kern w:val="0"/>
      <w:sz w:val="17"/>
      <w:szCs w:val="17"/>
      <w:lang w:eastAsia="pt-BR"/>
      <w14:ligatures w14:val="none"/>
    </w:rPr>
  </w:style>
  <w:style w:type="character" w:customStyle="1" w:styleId="s1">
    <w:name w:val="s1"/>
    <w:basedOn w:val="Fontepargpadro"/>
    <w:rsid w:val="00CE5407"/>
    <w:rPr>
      <w:rFonts w:ascii="Helvetica-Light" w:hAnsi="Helvetica-Light" w:hint="default"/>
      <w:b w:val="0"/>
      <w:bCs w:val="0"/>
      <w:i w:val="0"/>
      <w:iCs w:val="0"/>
      <w:sz w:val="17"/>
      <w:szCs w:val="17"/>
    </w:rPr>
  </w:style>
  <w:style w:type="character" w:styleId="Hyperlink">
    <w:name w:val="Hyperlink"/>
    <w:basedOn w:val="Fontepargpadro"/>
    <w:uiPriority w:val="99"/>
    <w:unhideWhenUsed/>
    <w:rsid w:val="00CE5407"/>
    <w:rPr>
      <w:color w:val="467886" w:themeColor="hyperlink"/>
      <w:u w:val="single"/>
    </w:rPr>
  </w:style>
  <w:style w:type="character" w:styleId="MenoPendente">
    <w:name w:val="Unresolved Mention"/>
    <w:basedOn w:val="Fontepargpadro"/>
    <w:uiPriority w:val="99"/>
    <w:semiHidden/>
    <w:unhideWhenUsed/>
    <w:rsid w:val="00CE5407"/>
    <w:rPr>
      <w:color w:val="605E5C"/>
      <w:shd w:val="clear" w:color="auto" w:fill="E1DFDD"/>
    </w:rPr>
  </w:style>
  <w:style w:type="paragraph" w:styleId="NormalWeb">
    <w:name w:val="Normal (Web)"/>
    <w:basedOn w:val="Normal"/>
    <w:uiPriority w:val="99"/>
    <w:semiHidden/>
    <w:unhideWhenUsed/>
    <w:rsid w:val="000D56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oab.org.br/noticia/62711/confira-versao-final-da-recomendacao-do-cfoab-sobre-o-uso-de-ia-na-pratica-juridica" TargetMode="External"/><Relationship Id="rId2" Type="http://schemas.openxmlformats.org/officeDocument/2006/relationships/hyperlink" Target="https://www.vatican.va/content/leo-xiv/pt/encyclicals/documents/20260515-magnifica-humanitas.html" TargetMode="External"/><Relationship Id="rId1" Type="http://schemas.openxmlformats.org/officeDocument/2006/relationships/hyperlink" Target="https://owasp.org/www-community/attacks/PromptInjectio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FF5E-BFC8-7A40-B975-F0E7B73D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1741</Words>
  <Characters>9406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Gerhardt</dc:creator>
  <cp:keywords/>
  <dc:description/>
  <cp:lastModifiedBy>Erika Gerhardt</cp:lastModifiedBy>
  <cp:revision>1</cp:revision>
  <dcterms:created xsi:type="dcterms:W3CDTF">2026-06-03T14:38:00Z</dcterms:created>
  <dcterms:modified xsi:type="dcterms:W3CDTF">2026-06-03T15:13:00Z</dcterms:modified>
</cp:coreProperties>
</file>