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16" w:rsidRDefault="00F24416" w:rsidP="00F24416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EXCELENTÍSSIMO SENH</w:t>
      </w:r>
      <w:r w:rsidR="00CB3615">
        <w:rPr>
          <w:rFonts w:ascii="Book Antiqua" w:hAnsi="Book Antiqua"/>
        </w:rPr>
        <w:t>OR JUIZ DO TRABALHO TITULAR DA ___</w:t>
      </w:r>
      <w:r>
        <w:rPr>
          <w:rFonts w:ascii="Book Antiqua" w:hAnsi="Book Antiqua"/>
        </w:rPr>
        <w:t xml:space="preserve"> VARA DO TRABALHO DE </w:t>
      </w:r>
      <w:r w:rsidR="00CB3615">
        <w:rPr>
          <w:rFonts w:ascii="Book Antiqua" w:hAnsi="Book Antiqua"/>
        </w:rPr>
        <w:t>_________</w:t>
      </w:r>
      <w:r>
        <w:rPr>
          <w:rFonts w:ascii="Book Antiqua" w:hAnsi="Book Antiqua"/>
        </w:rPr>
        <w:t xml:space="preserve"> – RONDÔNIA</w:t>
      </w: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Autos do Processo n. </w:t>
      </w:r>
      <w:r w:rsidR="00CB3615">
        <w:rPr>
          <w:rFonts w:ascii="Book Antiqua" w:hAnsi="Book Antiqua"/>
        </w:rPr>
        <w:t>_____________________________</w:t>
      </w: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Reclamante: </w:t>
      </w:r>
      <w:r w:rsidR="00CB3615">
        <w:rPr>
          <w:rFonts w:ascii="Book Antiqua" w:hAnsi="Book Antiqua"/>
        </w:rPr>
        <w:t>_________________________________</w:t>
      </w: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Reclamada: </w:t>
      </w:r>
      <w:r w:rsidR="00CB3615">
        <w:rPr>
          <w:rFonts w:ascii="Book Antiqua" w:hAnsi="Book Antiqua"/>
        </w:rPr>
        <w:t>__________________________________</w:t>
      </w: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F24416" w:rsidRDefault="00F24416" w:rsidP="00F24416">
      <w:pPr>
        <w:spacing w:after="0"/>
        <w:jc w:val="both"/>
        <w:rPr>
          <w:rFonts w:ascii="Book Antiqua" w:hAnsi="Book Antiqua"/>
        </w:rPr>
      </w:pPr>
    </w:p>
    <w:p w:rsidR="000E193F" w:rsidRPr="000E193F" w:rsidRDefault="00F24416" w:rsidP="000E193F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CB3615">
        <w:rPr>
          <w:rFonts w:ascii="Book Antiqua" w:hAnsi="Book Antiqua"/>
          <w:b/>
        </w:rPr>
        <w:t>___________________________</w:t>
      </w:r>
      <w:r w:rsidR="00F34AE4">
        <w:rPr>
          <w:rFonts w:ascii="Book Antiqua" w:hAnsi="Book Antiqua"/>
          <w:b/>
        </w:rPr>
        <w:t xml:space="preserve">, </w:t>
      </w:r>
      <w:r w:rsidR="00F34AE4">
        <w:rPr>
          <w:rFonts w:ascii="Book Antiqua" w:hAnsi="Book Antiqua"/>
        </w:rPr>
        <w:t xml:space="preserve">qualificado nos autos em epígrafe, vem a </w:t>
      </w:r>
      <w:proofErr w:type="gramStart"/>
      <w:r w:rsidR="00F34AE4">
        <w:rPr>
          <w:rFonts w:ascii="Book Antiqua" w:hAnsi="Book Antiqua"/>
        </w:rPr>
        <w:t>r.</w:t>
      </w:r>
      <w:proofErr w:type="gramEnd"/>
      <w:r w:rsidR="00F34AE4">
        <w:rPr>
          <w:rFonts w:ascii="Book Antiqua" w:hAnsi="Book Antiqua"/>
        </w:rPr>
        <w:t xml:space="preserve"> presença de Vossa Excelência, por intermédio de seus Advogados,</w:t>
      </w:r>
      <w:r>
        <w:rPr>
          <w:rFonts w:ascii="Book Antiqua" w:hAnsi="Book Antiqua"/>
        </w:rPr>
        <w:t xml:space="preserve"> </w:t>
      </w:r>
      <w:r w:rsidR="000E193F" w:rsidRPr="000E193F">
        <w:rPr>
          <w:rFonts w:ascii="Book Antiqua" w:hAnsi="Book Antiqua"/>
        </w:rPr>
        <w:t xml:space="preserve">requerer a </w:t>
      </w:r>
      <w:r w:rsidR="000E193F" w:rsidRPr="000E193F">
        <w:rPr>
          <w:rFonts w:ascii="Book Antiqua" w:hAnsi="Book Antiqua"/>
          <w:b/>
        </w:rPr>
        <w:t>SUSPENSÃO DA AUDIÊNCIA DE INSTRUÇÃO DESIGNADA PARA</w:t>
      </w:r>
      <w:r w:rsidR="000E193F" w:rsidRPr="000E193F">
        <w:rPr>
          <w:rFonts w:ascii="Book Antiqua" w:hAnsi="Book Antiqua"/>
        </w:rPr>
        <w:t xml:space="preserve"> __________, com base nos fatos e direitos </w:t>
      </w:r>
      <w:r w:rsidR="000E193F">
        <w:rPr>
          <w:rFonts w:ascii="Book Antiqua" w:hAnsi="Book Antiqua"/>
        </w:rPr>
        <w:t>adiante expendidos nos seguintes termos</w:t>
      </w:r>
      <w:r w:rsidR="000E193F" w:rsidRPr="000E193F">
        <w:rPr>
          <w:rFonts w:ascii="Book Antiqua" w:hAnsi="Book Antiqua"/>
        </w:rPr>
        <w:t>.</w:t>
      </w:r>
    </w:p>
    <w:p w:rsidR="000E193F" w:rsidRPr="000E193F" w:rsidRDefault="000E193F" w:rsidP="000E193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</w:t>
      </w:r>
      <w:r w:rsidRPr="000E193F">
        <w:rPr>
          <w:rFonts w:ascii="Book Antiqua" w:hAnsi="Book Antiqua"/>
        </w:rPr>
        <w:t xml:space="preserve">om a edição do ATO CONJUNTO </w:t>
      </w:r>
      <w:proofErr w:type="gramStart"/>
      <w:r w:rsidRPr="000E193F">
        <w:rPr>
          <w:rFonts w:ascii="Book Antiqua" w:hAnsi="Book Antiqua"/>
        </w:rPr>
        <w:t>CSJT.</w:t>
      </w:r>
      <w:proofErr w:type="gramEnd"/>
      <w:r w:rsidRPr="000E193F">
        <w:rPr>
          <w:rFonts w:ascii="Book Antiqua" w:hAnsi="Book Antiqua"/>
        </w:rPr>
        <w:t xml:space="preserve">GP. </w:t>
      </w:r>
      <w:proofErr w:type="gramStart"/>
      <w:r w:rsidRPr="000E193F">
        <w:rPr>
          <w:rFonts w:ascii="Book Antiqua" w:hAnsi="Book Antiqua"/>
        </w:rPr>
        <w:t>GVP.</w:t>
      </w:r>
      <w:proofErr w:type="gramEnd"/>
      <w:r w:rsidRPr="000E193F">
        <w:rPr>
          <w:rFonts w:ascii="Book Antiqua" w:hAnsi="Book Antiqua"/>
        </w:rPr>
        <w:t xml:space="preserve">CGJT N° 6, DE 05 DE MAIO DE 2020, que "consolida e uniformiza, no âmbito da Justiça do Trabalho de 1° e 2º graus, a regulamentação do trabalho remoto temporário, do funcionamento dos serviços judiciários não presenciais e da realização de sessões de julgamento </w:t>
      </w:r>
      <w:proofErr w:type="spellStart"/>
      <w:r w:rsidRPr="000E193F">
        <w:rPr>
          <w:rFonts w:ascii="Book Antiqua" w:hAnsi="Book Antiqua"/>
        </w:rPr>
        <w:t>telepresenciais</w:t>
      </w:r>
      <w:proofErr w:type="spellEnd"/>
      <w:r w:rsidRPr="000E193F">
        <w:rPr>
          <w:rFonts w:ascii="Book Antiqua" w:hAnsi="Book Antiqua"/>
        </w:rPr>
        <w:t xml:space="preserve">, com o objetivo de prevenir o contágio pelo Novo </w:t>
      </w:r>
      <w:proofErr w:type="spellStart"/>
      <w:r w:rsidRPr="000E193F">
        <w:rPr>
          <w:rFonts w:ascii="Book Antiqua" w:hAnsi="Book Antiqua"/>
        </w:rPr>
        <w:t>Coronavírus</w:t>
      </w:r>
      <w:proofErr w:type="spellEnd"/>
      <w:r w:rsidRPr="000E193F">
        <w:rPr>
          <w:rFonts w:ascii="Book Antiqua" w:hAnsi="Book Antiqua"/>
        </w:rPr>
        <w:t xml:space="preserve"> - Covid-19, bem como garantir o acesso à justiça", os prazos processuais no âmbito da justiça do trabalho passaram a fluir a partir de 04 de Maio de 2020, a exceção dos processos que tramitam por meio físico.</w:t>
      </w:r>
    </w:p>
    <w:p w:rsidR="000E193F" w:rsidRPr="000E193F" w:rsidRDefault="000E193F" w:rsidP="000E193F">
      <w:pPr>
        <w:jc w:val="both"/>
        <w:rPr>
          <w:rFonts w:ascii="Book Antiqua" w:hAnsi="Book Antiqua"/>
        </w:rPr>
      </w:pPr>
      <w:r w:rsidRPr="000E193F">
        <w:rPr>
          <w:rFonts w:ascii="Book Antiqua" w:hAnsi="Book Antiqua"/>
        </w:rPr>
        <w:tab/>
      </w:r>
      <w:r w:rsidRPr="000E193F">
        <w:rPr>
          <w:rFonts w:ascii="Book Antiqua" w:hAnsi="Book Antiqua"/>
        </w:rPr>
        <w:tab/>
        <w:t xml:space="preserve">Além da fluência dos prazos processuais, o referido ato, corroborado pelas Resoluções 313 e 314/2020 da CM c/c Ato N° 11/GCGJT, DE 23 DE ABRIL DE 2020, autorizaram a realização de audiências </w:t>
      </w:r>
      <w:proofErr w:type="spellStart"/>
      <w:r w:rsidRPr="000E193F">
        <w:rPr>
          <w:rFonts w:ascii="Book Antiqua" w:hAnsi="Book Antiqua"/>
        </w:rPr>
        <w:t>telepresenciais</w:t>
      </w:r>
      <w:proofErr w:type="spellEnd"/>
      <w:r w:rsidRPr="000E193F">
        <w:rPr>
          <w:rFonts w:ascii="Book Antiqua" w:hAnsi="Book Antiqua"/>
        </w:rPr>
        <w:t>, sendo vedada a realização de atos presenciais, tais como audiências, depoimentos, tradição e assinatura de documentos físicos determinados por decisão judicial.</w:t>
      </w:r>
    </w:p>
    <w:p w:rsidR="000E193F" w:rsidRPr="000E193F" w:rsidRDefault="000E193F" w:rsidP="000E193F">
      <w:pPr>
        <w:jc w:val="both"/>
        <w:rPr>
          <w:rFonts w:ascii="Book Antiqua" w:hAnsi="Book Antiqua"/>
        </w:rPr>
      </w:pPr>
      <w:r w:rsidRPr="000E193F">
        <w:rPr>
          <w:rFonts w:ascii="Book Antiqua" w:hAnsi="Book Antiqua"/>
        </w:rPr>
        <w:tab/>
      </w:r>
      <w:r w:rsidRPr="000E193F">
        <w:rPr>
          <w:rFonts w:ascii="Book Antiqua" w:hAnsi="Book Antiqua"/>
        </w:rPr>
        <w:tab/>
        <w:t xml:space="preserve">Diante de tal autorização, os parágrafos 30, 40 e 5° do Art. 6° do ATO CONJUNTO </w:t>
      </w:r>
      <w:proofErr w:type="gramStart"/>
      <w:r w:rsidRPr="000E193F">
        <w:rPr>
          <w:rFonts w:ascii="Book Antiqua" w:hAnsi="Book Antiqua"/>
        </w:rPr>
        <w:t>CSJT.</w:t>
      </w:r>
      <w:proofErr w:type="gramEnd"/>
      <w:r w:rsidRPr="000E193F">
        <w:rPr>
          <w:rFonts w:ascii="Book Antiqua" w:hAnsi="Book Antiqua"/>
        </w:rPr>
        <w:t xml:space="preserve">GP. </w:t>
      </w:r>
      <w:proofErr w:type="gramStart"/>
      <w:r w:rsidRPr="000E193F">
        <w:rPr>
          <w:rFonts w:ascii="Book Antiqua" w:hAnsi="Book Antiqua"/>
        </w:rPr>
        <w:t>GVP.</w:t>
      </w:r>
      <w:proofErr w:type="gramEnd"/>
      <w:r w:rsidRPr="000E193F">
        <w:rPr>
          <w:rFonts w:ascii="Book Antiqua" w:hAnsi="Book Antiqua"/>
        </w:rPr>
        <w:t xml:space="preserve">CGJT N°6, DE 05 DE MAIO DE 2020, concederam ao Juiz da causa ou Desembargador relator a possibilidade de </w:t>
      </w:r>
      <w:proofErr w:type="spellStart"/>
      <w:r w:rsidRPr="000E193F">
        <w:rPr>
          <w:rFonts w:ascii="Book Antiqua" w:hAnsi="Book Antiqua"/>
        </w:rPr>
        <w:t>redesignação</w:t>
      </w:r>
      <w:proofErr w:type="spellEnd"/>
      <w:r w:rsidRPr="000E193F">
        <w:rPr>
          <w:rFonts w:ascii="Book Antiqua" w:hAnsi="Book Antiqua"/>
        </w:rPr>
        <w:t xml:space="preserve"> das audiências, suspensão de atos processuais e prazos nos casos de agravamento da</w:t>
      </w:r>
      <w:r>
        <w:rPr>
          <w:rFonts w:ascii="Book Antiqua" w:hAnsi="Book Antiqua"/>
        </w:rPr>
        <w:t xml:space="preserve"> </w:t>
      </w:r>
      <w:r w:rsidRPr="000E193F">
        <w:rPr>
          <w:rFonts w:ascii="Book Antiqua" w:hAnsi="Book Antiqua"/>
        </w:rPr>
        <w:t>pandemia e absoluta impossibilidade técnica, vejamos:</w:t>
      </w:r>
    </w:p>
    <w:p w:rsidR="000E193F" w:rsidRPr="000E193F" w:rsidRDefault="000E193F" w:rsidP="000E193F">
      <w:pPr>
        <w:ind w:left="2268"/>
        <w:jc w:val="both"/>
        <w:rPr>
          <w:rFonts w:ascii="Book Antiqua" w:hAnsi="Book Antiqua" w:cs="Calibri"/>
        </w:rPr>
      </w:pPr>
      <w:r w:rsidRPr="000E193F">
        <w:rPr>
          <w:rFonts w:ascii="Book Antiqua" w:hAnsi="Book Antiqua" w:cs="Calibri"/>
        </w:rPr>
        <w:t xml:space="preserve">§ 3° O Juiz ou Desembargador Relator, de ofício ou </w:t>
      </w:r>
      <w:proofErr w:type="gramStart"/>
      <w:r w:rsidRPr="000E193F">
        <w:rPr>
          <w:rFonts w:ascii="Book Antiqua" w:hAnsi="Book Antiqua" w:cs="Calibri"/>
        </w:rPr>
        <w:t>atendendo a</w:t>
      </w:r>
      <w:proofErr w:type="gramEnd"/>
      <w:r w:rsidRPr="000E193F">
        <w:rPr>
          <w:rFonts w:ascii="Book Antiqua" w:hAnsi="Book Antiqua" w:cs="Calibri"/>
        </w:rPr>
        <w:t xml:space="preserve"> pedido das partes, poderá, fundamentadamente, suspender os prazos ou a prática dos atos processuais, no processo judicial, </w:t>
      </w:r>
      <w:r w:rsidRPr="000E193F">
        <w:rPr>
          <w:rFonts w:ascii="Book Antiqua" w:hAnsi="Book Antiqua" w:cs="Calibri"/>
          <w:b/>
          <w:bCs/>
          <w:u w:val="single"/>
        </w:rPr>
        <w:t xml:space="preserve">considerando o agravamento local ou regional da pandemia </w:t>
      </w:r>
      <w:r w:rsidRPr="000E193F">
        <w:rPr>
          <w:rFonts w:ascii="Book Antiqua" w:hAnsi="Book Antiqua" w:cs="Calibri"/>
          <w:b/>
          <w:bCs/>
          <w:u w:val="single"/>
        </w:rPr>
        <w:lastRenderedPageBreak/>
        <w:t>ou a precariedade de acesso de partes ou advogados aos meios virtuais de visualização dos autos.</w:t>
      </w:r>
    </w:p>
    <w:p w:rsidR="000E193F" w:rsidRPr="000E193F" w:rsidRDefault="000E193F" w:rsidP="000E193F">
      <w:pPr>
        <w:ind w:left="2268"/>
        <w:jc w:val="both"/>
        <w:rPr>
          <w:rFonts w:ascii="Book Antiqua" w:hAnsi="Book Antiqua" w:cs="Calibri"/>
        </w:rPr>
      </w:pPr>
    </w:p>
    <w:p w:rsidR="000E193F" w:rsidRPr="000E193F" w:rsidRDefault="000E193F" w:rsidP="000E193F">
      <w:pPr>
        <w:ind w:left="2268"/>
        <w:jc w:val="both"/>
        <w:rPr>
          <w:rFonts w:ascii="Book Antiqua" w:hAnsi="Book Antiqua" w:cs="Calibri"/>
          <w:b/>
          <w:bCs/>
          <w:u w:val="single"/>
        </w:rPr>
      </w:pPr>
      <w:r w:rsidRPr="000E193F">
        <w:rPr>
          <w:rFonts w:ascii="Book Antiqua" w:hAnsi="Book Antiqua" w:cs="Calibri"/>
          <w:b/>
          <w:bCs/>
          <w:u w:val="single"/>
        </w:rPr>
        <w:t>§ 4° Os atos processuais que não puderem ser praticados pelo meio eletrônico ou virtual, por absoluta impossibilidade técnica ou prática a ser apontada por qualquer dos envolvidos no ato, devidamente justificada nos autos, deverão ser adiados e certificados pela serventia, após decisão fundamentada do magistrado.</w:t>
      </w:r>
    </w:p>
    <w:p w:rsidR="000E193F" w:rsidRPr="000E193F" w:rsidRDefault="000E193F" w:rsidP="000E193F">
      <w:pPr>
        <w:ind w:left="2268"/>
        <w:jc w:val="both"/>
        <w:rPr>
          <w:rFonts w:ascii="Book Antiqua" w:hAnsi="Book Antiqua" w:cs="Calibri"/>
        </w:rPr>
      </w:pPr>
    </w:p>
    <w:p w:rsidR="000E193F" w:rsidRPr="000E193F" w:rsidRDefault="000E193F" w:rsidP="000E193F">
      <w:pPr>
        <w:ind w:left="2268"/>
        <w:jc w:val="both"/>
        <w:rPr>
          <w:rFonts w:ascii="Book Antiqua" w:hAnsi="Book Antiqua" w:cs="Calibri"/>
        </w:rPr>
      </w:pPr>
      <w:r w:rsidRPr="000E193F">
        <w:rPr>
          <w:rFonts w:ascii="Book Antiqua" w:hAnsi="Book Antiqua" w:cs="Calibri"/>
        </w:rPr>
        <w:t>§ 5º Os prazos processuais para apresentação de contestação, impugnação ao cumprimento de sentença, embargos à execução, defesas preliminares, inclusive quando praticados em audiência, e outros que exijam a coleta prévia de elementos de prova por parte dos advogados, defensores e procuradores juntamente às partes e assistidos, somente serão suspensos, se, durante a sua fluência, a parte informar ao juízo competente a impossibilidade de prática do ato, o prazo será considerado suspenso na data do protocolo da petição com essa informação. (destaques deste patrono).</w:t>
      </w:r>
    </w:p>
    <w:p w:rsidR="000E193F" w:rsidRPr="000E193F" w:rsidRDefault="000E193F" w:rsidP="000E193F">
      <w:pPr>
        <w:ind w:left="2268"/>
        <w:jc w:val="both"/>
        <w:rPr>
          <w:rFonts w:ascii="Book Antiqua" w:hAnsi="Book Antiqua" w:cs="Calibri"/>
          <w:sz w:val="24"/>
          <w:szCs w:val="24"/>
        </w:rPr>
      </w:pPr>
    </w:p>
    <w:p w:rsidR="000E193F" w:rsidRPr="000E193F" w:rsidRDefault="000E193F" w:rsidP="000E193F">
      <w:pPr>
        <w:spacing w:line="360" w:lineRule="auto"/>
        <w:jc w:val="both"/>
        <w:rPr>
          <w:rFonts w:ascii="Book Antiqua" w:hAnsi="Book Antiqua" w:cs="Calibri"/>
          <w:u w:val="single"/>
        </w:rPr>
      </w:pPr>
      <w:r>
        <w:rPr>
          <w:rFonts w:ascii="Book Antiqua" w:hAnsi="Book Antiqua" w:cs="Calibri"/>
        </w:rPr>
        <w:t xml:space="preserve"> </w:t>
      </w:r>
      <w:r>
        <w:rPr>
          <w:rFonts w:ascii="Book Antiqua" w:hAnsi="Book Antiqua" w:cs="Calibri"/>
        </w:rPr>
        <w:tab/>
      </w:r>
      <w:r w:rsidRPr="000E193F">
        <w:rPr>
          <w:rFonts w:ascii="Book Antiqua" w:hAnsi="Book Antiqua" w:cs="Calibri"/>
        </w:rPr>
        <w:tab/>
      </w:r>
      <w:r w:rsidRPr="000E193F">
        <w:rPr>
          <w:rFonts w:ascii="Book Antiqua" w:hAnsi="Book Antiqua" w:cs="Calibri"/>
        </w:rPr>
        <w:tab/>
      </w:r>
      <w:r w:rsidRPr="000E193F">
        <w:rPr>
          <w:rFonts w:ascii="Book Antiqua" w:hAnsi="Book Antiqua" w:cs="Calibri"/>
          <w:u w:val="single"/>
        </w:rPr>
        <w:t xml:space="preserve">É notório que a crise na saúde no Estado de Rondônia e em especial em Porto Velho se agravou drasticamente nos últimos dias, sendo que até </w:t>
      </w:r>
      <w:r>
        <w:rPr>
          <w:rFonts w:ascii="Book Antiqua" w:hAnsi="Book Antiqua" w:cs="Calibri"/>
          <w:u w:val="single"/>
        </w:rPr>
        <w:t>_____</w:t>
      </w:r>
      <w:r w:rsidRPr="000E193F">
        <w:rPr>
          <w:rFonts w:ascii="Book Antiqua" w:hAnsi="Book Antiqua" w:cs="Calibri"/>
          <w:u w:val="single"/>
        </w:rPr>
        <w:t xml:space="preserve"> já são </w:t>
      </w:r>
      <w:r>
        <w:rPr>
          <w:rFonts w:ascii="Book Antiqua" w:hAnsi="Book Antiqua" w:cs="Calibri"/>
          <w:u w:val="single"/>
        </w:rPr>
        <w:t>____</w:t>
      </w:r>
      <w:r w:rsidRPr="000E193F">
        <w:rPr>
          <w:rFonts w:ascii="Book Antiqua" w:hAnsi="Book Antiqua" w:cs="Calibri"/>
          <w:u w:val="single"/>
        </w:rPr>
        <w:t xml:space="preserve"> casos confirmados no Estado e </w:t>
      </w:r>
      <w:r>
        <w:rPr>
          <w:rFonts w:ascii="Book Antiqua" w:hAnsi="Book Antiqua" w:cs="Calibri"/>
          <w:u w:val="single"/>
        </w:rPr>
        <w:t>____</w:t>
      </w:r>
      <w:r w:rsidRPr="000E193F">
        <w:rPr>
          <w:rFonts w:ascii="Book Antiqua" w:hAnsi="Book Antiqua" w:cs="Calibri"/>
          <w:u w:val="single"/>
        </w:rPr>
        <w:t xml:space="preserve"> somente em </w:t>
      </w:r>
      <w:r>
        <w:rPr>
          <w:rFonts w:ascii="Book Antiqua" w:hAnsi="Book Antiqua" w:cs="Calibri"/>
          <w:u w:val="single"/>
        </w:rPr>
        <w:t>_________</w:t>
      </w:r>
      <w:r w:rsidRPr="000E193F">
        <w:rPr>
          <w:rFonts w:ascii="Book Antiqua" w:hAnsi="Book Antiqua" w:cs="Calibri"/>
          <w:u w:val="single"/>
        </w:rPr>
        <w:t>.</w:t>
      </w:r>
    </w:p>
    <w:p w:rsidR="000E193F" w:rsidRPr="000E193F" w:rsidRDefault="000E193F" w:rsidP="000E193F">
      <w:pPr>
        <w:spacing w:line="360" w:lineRule="auto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 </w:t>
      </w:r>
      <w:r>
        <w:rPr>
          <w:rFonts w:ascii="Book Antiqua" w:hAnsi="Book Antiqua" w:cs="Calibri"/>
        </w:rPr>
        <w:tab/>
      </w:r>
      <w:r w:rsidRPr="000E193F">
        <w:rPr>
          <w:rFonts w:ascii="Book Antiqua" w:hAnsi="Book Antiqua" w:cs="Calibri"/>
        </w:rPr>
        <w:tab/>
      </w:r>
      <w:r w:rsidRPr="000E193F"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>Ademais</w:t>
      </w:r>
      <w:r w:rsidRPr="000E193F">
        <w:rPr>
          <w:rFonts w:ascii="Book Antiqua" w:hAnsi="Book Antiqua" w:cs="Calibri"/>
        </w:rPr>
        <w:t xml:space="preserve">, percebe-se que, além de imputar à advocacia a responsabilidade pela disponibilização de toda a estrutura necessária para viabilizar a audiência </w:t>
      </w:r>
      <w:proofErr w:type="spellStart"/>
      <w:r w:rsidRPr="000E193F">
        <w:rPr>
          <w:rFonts w:ascii="Book Antiqua" w:hAnsi="Book Antiqua" w:cs="Calibri"/>
        </w:rPr>
        <w:t>telepresencial</w:t>
      </w:r>
      <w:proofErr w:type="spellEnd"/>
      <w:r w:rsidRPr="000E193F">
        <w:rPr>
          <w:rFonts w:ascii="Book Antiqua" w:hAnsi="Book Antiqua" w:cs="Calibri"/>
        </w:rPr>
        <w:t>, exigindo que a parte tenha contato direto com o advogado, o ato olvidou da observância de princípios processuais norteadores do direito processual do trabalho que garantem a lisura e probidade do processo do trabalho.</w:t>
      </w:r>
    </w:p>
    <w:p w:rsidR="000E193F" w:rsidRPr="000E193F" w:rsidRDefault="000E193F" w:rsidP="000E193F">
      <w:pPr>
        <w:spacing w:line="360" w:lineRule="auto"/>
        <w:jc w:val="both"/>
        <w:rPr>
          <w:rFonts w:ascii="Book Antiqua" w:hAnsi="Book Antiqua" w:cs="Calibri"/>
          <w:b/>
          <w:bCs/>
          <w:color w:val="FF0000"/>
        </w:rPr>
      </w:pPr>
      <w:r w:rsidRPr="000E193F">
        <w:rPr>
          <w:rFonts w:ascii="Book Antiqua" w:hAnsi="Book Antiqua" w:cs="Calibri"/>
        </w:rPr>
        <w:tab/>
      </w:r>
      <w:r w:rsidRPr="000E193F">
        <w:rPr>
          <w:rFonts w:ascii="Book Antiqua" w:hAnsi="Book Antiqua" w:cs="Calibri"/>
        </w:rPr>
        <w:tab/>
      </w:r>
      <w:r w:rsidRPr="000E193F">
        <w:rPr>
          <w:rFonts w:ascii="Book Antiqua" w:hAnsi="Book Antiqua" w:cs="Calibri"/>
          <w:b/>
          <w:bCs/>
          <w:color w:val="FF0000"/>
        </w:rPr>
        <w:t>MM. Juízo</w:t>
      </w:r>
      <w:proofErr w:type="gramStart"/>
      <w:r w:rsidRPr="000E193F">
        <w:rPr>
          <w:rFonts w:ascii="Book Antiqua" w:hAnsi="Book Antiqua" w:cs="Calibri"/>
          <w:b/>
          <w:bCs/>
          <w:color w:val="FF0000"/>
        </w:rPr>
        <w:t>, é</w:t>
      </w:r>
      <w:proofErr w:type="gramEnd"/>
      <w:r w:rsidRPr="000E193F">
        <w:rPr>
          <w:rFonts w:ascii="Book Antiqua" w:hAnsi="Book Antiqua" w:cs="Calibri"/>
          <w:b/>
          <w:bCs/>
          <w:color w:val="FF0000"/>
        </w:rPr>
        <w:t xml:space="preserve"> imprescindível ressaltarmos que este caso, em específico, a instrução versará exaustivamente acerca de uma gravação clandestina de ambiente realizada pelo Reclamante e uma audiência por videoconferência trará flagrantes prejuízos à instrução processual. Ademais, trata-se de pedido de reversão de demissão, pedido de indenização por danos morais em razão de </w:t>
      </w:r>
      <w:r w:rsidRPr="000E193F">
        <w:rPr>
          <w:rFonts w:ascii="Book Antiqua" w:hAnsi="Book Antiqua" w:cs="Calibri"/>
          <w:b/>
          <w:bCs/>
          <w:color w:val="FF0000"/>
          <w:u w:val="single"/>
        </w:rPr>
        <w:t xml:space="preserve">suposta demissão </w:t>
      </w:r>
      <w:r w:rsidRPr="000E193F">
        <w:rPr>
          <w:rFonts w:ascii="Book Antiqua" w:hAnsi="Book Antiqua" w:cs="Calibri"/>
          <w:b/>
          <w:bCs/>
          <w:color w:val="FF0000"/>
          <w:u w:val="single"/>
        </w:rPr>
        <w:lastRenderedPageBreak/>
        <w:t>arbitrária.</w:t>
      </w:r>
      <w:r w:rsidRPr="000E193F">
        <w:rPr>
          <w:rFonts w:ascii="Book Antiqua" w:hAnsi="Book Antiqua" w:cs="Calibri"/>
          <w:b/>
          <w:bCs/>
          <w:color w:val="FF0000"/>
        </w:rPr>
        <w:t xml:space="preserve"> Se assim não fosse o caso dos autos, esta </w:t>
      </w:r>
      <w:r>
        <w:rPr>
          <w:rFonts w:ascii="Book Antiqua" w:hAnsi="Book Antiqua" w:cs="Calibri"/>
          <w:b/>
          <w:bCs/>
          <w:color w:val="FF0000"/>
        </w:rPr>
        <w:t>(PARTE)</w:t>
      </w:r>
      <w:r w:rsidRPr="000E193F">
        <w:rPr>
          <w:rFonts w:ascii="Book Antiqua" w:hAnsi="Book Antiqua" w:cs="Calibri"/>
          <w:b/>
          <w:bCs/>
          <w:color w:val="FF0000"/>
        </w:rPr>
        <w:t xml:space="preserve"> não se oporia à instrução por videoconferência.</w:t>
      </w:r>
    </w:p>
    <w:p w:rsidR="000E193F" w:rsidRPr="000E193F" w:rsidRDefault="000E193F" w:rsidP="000E193F">
      <w:pPr>
        <w:spacing w:line="360" w:lineRule="auto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  <w:b/>
          <w:bCs/>
        </w:rPr>
        <w:t xml:space="preserve"> </w:t>
      </w:r>
      <w:r>
        <w:rPr>
          <w:rFonts w:ascii="Book Antiqua" w:hAnsi="Book Antiqua" w:cs="Calibri"/>
          <w:b/>
          <w:bCs/>
        </w:rPr>
        <w:tab/>
      </w:r>
      <w:r w:rsidRPr="000E193F">
        <w:rPr>
          <w:rFonts w:ascii="Book Antiqua" w:hAnsi="Book Antiqua" w:cs="Calibri"/>
          <w:b/>
          <w:bCs/>
        </w:rPr>
        <w:tab/>
      </w:r>
      <w:r w:rsidRPr="000E193F">
        <w:rPr>
          <w:rFonts w:ascii="Book Antiqua" w:hAnsi="Book Antiqua" w:cs="Calibri"/>
          <w:b/>
          <w:bCs/>
        </w:rPr>
        <w:tab/>
      </w:r>
      <w:r>
        <w:rPr>
          <w:rFonts w:ascii="Book Antiqua" w:hAnsi="Book Antiqua" w:cs="Calibri"/>
        </w:rPr>
        <w:t>Ressalta-se que</w:t>
      </w:r>
      <w:r w:rsidRPr="000E193F">
        <w:rPr>
          <w:rFonts w:ascii="Book Antiqua" w:hAnsi="Book Antiqua" w:cs="Calibri"/>
        </w:rPr>
        <w:t xml:space="preserve"> não</w:t>
      </w:r>
      <w:r>
        <w:rPr>
          <w:rFonts w:ascii="Book Antiqua" w:hAnsi="Book Antiqua" w:cs="Calibri"/>
        </w:rPr>
        <w:t xml:space="preserve"> se trata de audiência de</w:t>
      </w:r>
      <w:r w:rsidRPr="000E193F">
        <w:rPr>
          <w:rFonts w:ascii="Book Antiqua" w:hAnsi="Book Antiqua" w:cs="Calibri"/>
        </w:rPr>
        <w:t xml:space="preserve"> instrução que se baseará somente em critério objetivos, com análise de provas documentais, mas sim diante de uma instrução subjetiva, na qual as partes deverão se atentar especialmente aos depoimentos, </w:t>
      </w:r>
      <w:proofErr w:type="gramStart"/>
      <w:r w:rsidRPr="000E193F">
        <w:rPr>
          <w:rFonts w:ascii="Book Antiqua" w:hAnsi="Book Antiqua" w:cs="Calibri"/>
        </w:rPr>
        <w:t>sob pena</w:t>
      </w:r>
      <w:proofErr w:type="gramEnd"/>
      <w:r w:rsidRPr="000E193F">
        <w:rPr>
          <w:rFonts w:ascii="Book Antiqua" w:hAnsi="Book Antiqua" w:cs="Calibri"/>
        </w:rPr>
        <w:t xml:space="preserve"> de preclusão e ver sua principal prova prejudicada.</w:t>
      </w:r>
    </w:p>
    <w:p w:rsidR="000E193F" w:rsidRPr="0093026A" w:rsidRDefault="000E193F" w:rsidP="000E193F">
      <w:pPr>
        <w:spacing w:line="360" w:lineRule="auto"/>
        <w:jc w:val="both"/>
        <w:rPr>
          <w:rFonts w:ascii="Book Antiqua" w:hAnsi="Book Antiqua" w:cs="Calibri"/>
          <w:color w:val="FF0000"/>
        </w:rPr>
      </w:pPr>
      <w:r w:rsidRPr="0093026A">
        <w:rPr>
          <w:rFonts w:ascii="Book Antiqua" w:hAnsi="Book Antiqua" w:cs="Calibri"/>
          <w:color w:val="FF0000"/>
        </w:rPr>
        <w:t xml:space="preserve"> </w:t>
      </w:r>
      <w:r w:rsidRPr="0093026A">
        <w:rPr>
          <w:rFonts w:ascii="Book Antiqua" w:hAnsi="Book Antiqua" w:cs="Calibri"/>
          <w:color w:val="FF0000"/>
        </w:rPr>
        <w:tab/>
      </w:r>
      <w:r w:rsidRPr="0093026A">
        <w:rPr>
          <w:rFonts w:ascii="Book Antiqua" w:hAnsi="Book Antiqua" w:cs="Calibri"/>
          <w:color w:val="FF0000"/>
        </w:rPr>
        <w:tab/>
      </w:r>
      <w:r w:rsidRPr="0093026A">
        <w:rPr>
          <w:rFonts w:ascii="Book Antiqua" w:hAnsi="Book Antiqua" w:cs="Calibri"/>
          <w:color w:val="FF0000"/>
        </w:rPr>
        <w:tab/>
      </w:r>
      <w:r w:rsidRPr="0093026A">
        <w:rPr>
          <w:rFonts w:ascii="Book Antiqua" w:hAnsi="Book Antiqua" w:cs="Calibri"/>
          <w:color w:val="FF0000"/>
          <w:u w:val="single"/>
        </w:rPr>
        <w:t>Ademais, a (PARTE) encontra-se legalmente impedida de exercer suas atividades</w:t>
      </w:r>
      <w:r w:rsidR="008A2C73">
        <w:rPr>
          <w:rFonts w:ascii="Book Antiqua" w:hAnsi="Book Antiqua" w:cs="Calibri"/>
          <w:color w:val="FF0000"/>
          <w:u w:val="single"/>
        </w:rPr>
        <w:t xml:space="preserve"> de forma regular</w:t>
      </w:r>
      <w:r w:rsidRPr="0093026A">
        <w:rPr>
          <w:rFonts w:ascii="Book Antiqua" w:hAnsi="Book Antiqua" w:cs="Calibri"/>
          <w:color w:val="FF0000"/>
        </w:rPr>
        <w:t xml:space="preserve">, por força do Decreto Estadual </w:t>
      </w:r>
      <w:r w:rsidR="0093026A" w:rsidRPr="0093026A">
        <w:rPr>
          <w:rFonts w:ascii="Book Antiqua" w:hAnsi="Book Antiqua" w:cs="Calibri"/>
          <w:color w:val="FF0000"/>
        </w:rPr>
        <w:t xml:space="preserve">25.113/2020 que decreta medidas temporárias de isolamento social restritivo, visando </w:t>
      </w:r>
      <w:proofErr w:type="gramStart"/>
      <w:r w:rsidR="0093026A" w:rsidRPr="0093026A">
        <w:rPr>
          <w:rFonts w:ascii="Book Antiqua" w:hAnsi="Book Antiqua" w:cs="Calibri"/>
          <w:color w:val="FF0000"/>
        </w:rPr>
        <w:t>a</w:t>
      </w:r>
      <w:proofErr w:type="gramEnd"/>
      <w:r w:rsidR="0093026A" w:rsidRPr="0093026A">
        <w:rPr>
          <w:rFonts w:ascii="Book Antiqua" w:hAnsi="Book Antiqua" w:cs="Calibri"/>
          <w:color w:val="FF0000"/>
        </w:rPr>
        <w:t xml:space="preserve"> contenção do avanço da pandemia do novo </w:t>
      </w:r>
      <w:proofErr w:type="spellStart"/>
      <w:r w:rsidR="0093026A" w:rsidRPr="0093026A">
        <w:rPr>
          <w:rFonts w:ascii="Book Antiqua" w:hAnsi="Book Antiqua" w:cs="Calibri"/>
          <w:color w:val="FF0000"/>
        </w:rPr>
        <w:t>coronavírus</w:t>
      </w:r>
      <w:proofErr w:type="spellEnd"/>
      <w:r w:rsidR="0093026A" w:rsidRPr="0093026A">
        <w:rPr>
          <w:rFonts w:ascii="Book Antiqua" w:hAnsi="Book Antiqua" w:cs="Calibri"/>
          <w:color w:val="FF0000"/>
        </w:rPr>
        <w:t xml:space="preserve"> – </w:t>
      </w:r>
      <w:proofErr w:type="spellStart"/>
      <w:r w:rsidR="0093026A" w:rsidRPr="0093026A">
        <w:rPr>
          <w:rFonts w:ascii="Book Antiqua" w:hAnsi="Book Antiqua" w:cs="Calibri"/>
          <w:color w:val="FF0000"/>
        </w:rPr>
        <w:t>Covid</w:t>
      </w:r>
      <w:proofErr w:type="spellEnd"/>
      <w:r w:rsidR="0093026A" w:rsidRPr="0093026A">
        <w:rPr>
          <w:rFonts w:ascii="Book Antiqua" w:hAnsi="Book Antiqua" w:cs="Calibri"/>
          <w:color w:val="FF0000"/>
        </w:rPr>
        <w:t xml:space="preserve"> 19, nos Municípios de Porto Velho e Candeias do Jamari, que motivou a Recomendação n. 001/2020 da Presidência e Corregedoria Regional do TRT 14</w:t>
      </w:r>
      <w:r w:rsidRPr="0093026A">
        <w:rPr>
          <w:rFonts w:ascii="Book Antiqua" w:hAnsi="Book Antiqua" w:cs="Calibri"/>
          <w:color w:val="FF0000"/>
        </w:rPr>
        <w:t>.</w:t>
      </w:r>
    </w:p>
    <w:p w:rsidR="002921FF" w:rsidRPr="0093026A" w:rsidRDefault="002921FF" w:rsidP="000E193F">
      <w:pPr>
        <w:spacing w:line="360" w:lineRule="auto"/>
        <w:jc w:val="both"/>
        <w:rPr>
          <w:rFonts w:ascii="Book Antiqua" w:hAnsi="Book Antiqua" w:cs="Calibri"/>
        </w:rPr>
      </w:pPr>
    </w:p>
    <w:p w:rsidR="0093026A" w:rsidRDefault="0093026A" w:rsidP="0093026A">
      <w:pPr>
        <w:spacing w:line="360" w:lineRule="auto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 </w:t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  <w:t xml:space="preserve">Desta forma, </w:t>
      </w:r>
      <w:r w:rsidRPr="0093026A">
        <w:rPr>
          <w:rFonts w:ascii="Book Antiqua" w:hAnsi="Book Antiqua" w:cs="Calibri"/>
        </w:rPr>
        <w:t>considerando o Decreto Estadual 25.113/2020 e a Recomendação 001/2020</w:t>
      </w:r>
      <w:r>
        <w:rPr>
          <w:rFonts w:ascii="Book Antiqua" w:hAnsi="Book Antiqua" w:cs="Calibri"/>
        </w:rPr>
        <w:t xml:space="preserve"> </w:t>
      </w:r>
      <w:r w:rsidRPr="0093026A">
        <w:rPr>
          <w:rFonts w:ascii="Book Antiqua" w:hAnsi="Book Antiqua" w:cs="Calibri"/>
        </w:rPr>
        <w:t xml:space="preserve">supracitados, </w:t>
      </w:r>
      <w:r>
        <w:rPr>
          <w:rFonts w:ascii="Book Antiqua" w:hAnsi="Book Antiqua" w:cs="Calibri"/>
        </w:rPr>
        <w:t xml:space="preserve">e </w:t>
      </w:r>
      <w:r w:rsidRPr="0093026A">
        <w:rPr>
          <w:rFonts w:ascii="Book Antiqua" w:hAnsi="Book Antiqua" w:cs="Calibri"/>
        </w:rPr>
        <w:t>observando a parte final da</w:t>
      </w:r>
      <w:r>
        <w:rPr>
          <w:rFonts w:ascii="Book Antiqua" w:hAnsi="Book Antiqua" w:cs="Calibri"/>
        </w:rPr>
        <w:t xml:space="preserve"> </w:t>
      </w:r>
      <w:r w:rsidRPr="0093026A">
        <w:rPr>
          <w:rFonts w:ascii="Book Antiqua" w:hAnsi="Book Antiqua" w:cs="Calibri"/>
        </w:rPr>
        <w:t xml:space="preserve">Recomendação, que estende as medidas adotadas a todas as Varas do Trabalho e </w:t>
      </w:r>
      <w:proofErr w:type="spellStart"/>
      <w:r w:rsidRPr="0093026A">
        <w:rPr>
          <w:rFonts w:ascii="Book Antiqua" w:hAnsi="Book Antiqua" w:cs="Calibri"/>
        </w:rPr>
        <w:t>CEJUSCs</w:t>
      </w:r>
      <w:proofErr w:type="spellEnd"/>
      <w:r>
        <w:rPr>
          <w:rFonts w:ascii="Book Antiqua" w:hAnsi="Book Antiqua" w:cs="Calibri"/>
        </w:rPr>
        <w:t xml:space="preserve"> </w:t>
      </w:r>
      <w:r w:rsidRPr="0093026A">
        <w:rPr>
          <w:rFonts w:ascii="Book Antiqua" w:hAnsi="Book Antiqua" w:cs="Calibri"/>
        </w:rPr>
        <w:t xml:space="preserve">deste Regional, </w:t>
      </w:r>
      <w:r>
        <w:rPr>
          <w:rFonts w:ascii="Book Antiqua" w:hAnsi="Book Antiqua" w:cs="Calibri"/>
        </w:rPr>
        <w:t xml:space="preserve">a suspensão da audiência de instrução determinada é </w:t>
      </w:r>
      <w:proofErr w:type="gramStart"/>
      <w:r>
        <w:rPr>
          <w:rFonts w:ascii="Book Antiqua" w:hAnsi="Book Antiqua" w:cs="Calibri"/>
        </w:rPr>
        <w:t>a</w:t>
      </w:r>
      <w:proofErr w:type="gramEnd"/>
      <w:r>
        <w:rPr>
          <w:rFonts w:ascii="Book Antiqua" w:hAnsi="Book Antiqua" w:cs="Calibri"/>
        </w:rPr>
        <w:t xml:space="preserve"> medida que se impõe.</w:t>
      </w:r>
    </w:p>
    <w:p w:rsidR="000E193F" w:rsidRPr="000E193F" w:rsidRDefault="000E193F" w:rsidP="000E193F">
      <w:pPr>
        <w:ind w:left="2268"/>
        <w:jc w:val="both"/>
        <w:rPr>
          <w:rFonts w:ascii="Book Antiqua" w:hAnsi="Book Antiqua"/>
        </w:rPr>
      </w:pPr>
      <w:bookmarkStart w:id="0" w:name="_GoBack"/>
      <w:bookmarkEnd w:id="0"/>
    </w:p>
    <w:p w:rsidR="000E193F" w:rsidRPr="000E193F" w:rsidRDefault="000E193F" w:rsidP="000E193F">
      <w:pPr>
        <w:spacing w:line="360" w:lineRule="auto"/>
        <w:jc w:val="both"/>
        <w:rPr>
          <w:rFonts w:ascii="Book Antiqua" w:hAnsi="Book Antiqua" w:cs="Calibri"/>
          <w:b/>
          <w:bCs/>
          <w:u w:val="single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0E193F">
        <w:rPr>
          <w:rFonts w:ascii="Book Antiqua" w:hAnsi="Book Antiqua"/>
        </w:rPr>
        <w:tab/>
      </w:r>
      <w:r w:rsidRPr="000E193F">
        <w:rPr>
          <w:rFonts w:ascii="Book Antiqua" w:hAnsi="Book Antiqua"/>
        </w:rPr>
        <w:tab/>
      </w:r>
      <w:r>
        <w:rPr>
          <w:rFonts w:ascii="Book Antiqua" w:hAnsi="Book Antiqua"/>
        </w:rPr>
        <w:t>Assim</w:t>
      </w:r>
      <w:r w:rsidRPr="000E193F">
        <w:rPr>
          <w:rFonts w:ascii="Book Antiqua" w:hAnsi="Book Antiqua"/>
        </w:rPr>
        <w:t xml:space="preserve">, requer seja </w:t>
      </w:r>
      <w:r w:rsidRPr="000E193F">
        <w:rPr>
          <w:rFonts w:ascii="Book Antiqua" w:hAnsi="Book Antiqua"/>
          <w:b/>
          <w:bCs/>
          <w:u w:val="single"/>
        </w:rPr>
        <w:t xml:space="preserve">suspensa a solenidade de instrução e julgamento por termo indeterminado, ou ao menos por mais 30 (trinta) dias, prazo o qual caso decorra sem maiores mudanças no cenário da saúde local, esta </w:t>
      </w:r>
      <w:r>
        <w:rPr>
          <w:rFonts w:ascii="Book Antiqua" w:hAnsi="Book Antiqua"/>
          <w:b/>
          <w:bCs/>
          <w:u w:val="single"/>
        </w:rPr>
        <w:t>(PARTE)</w:t>
      </w:r>
      <w:r w:rsidRPr="000E193F">
        <w:rPr>
          <w:rFonts w:ascii="Book Antiqua" w:hAnsi="Book Antiqua"/>
          <w:b/>
          <w:bCs/>
          <w:u w:val="single"/>
        </w:rPr>
        <w:t xml:space="preserve"> se compromete a providenciar meios para a instrução processual, para que não haja um </w:t>
      </w:r>
      <w:r w:rsidRPr="000E193F">
        <w:rPr>
          <w:rFonts w:ascii="Book Antiqua" w:hAnsi="Book Antiqua"/>
          <w:b/>
          <w:bCs/>
          <w:i/>
          <w:iCs/>
          <w:u w:val="single"/>
        </w:rPr>
        <w:t xml:space="preserve">stand </w:t>
      </w:r>
      <w:proofErr w:type="spellStart"/>
      <w:r w:rsidRPr="000E193F">
        <w:rPr>
          <w:rFonts w:ascii="Book Antiqua" w:hAnsi="Book Antiqua"/>
          <w:b/>
          <w:bCs/>
          <w:i/>
          <w:iCs/>
          <w:u w:val="single"/>
        </w:rPr>
        <w:t>by</w:t>
      </w:r>
      <w:proofErr w:type="spellEnd"/>
      <w:r w:rsidRPr="000E193F">
        <w:rPr>
          <w:rFonts w:ascii="Book Antiqua" w:hAnsi="Book Antiqua"/>
          <w:b/>
          <w:bCs/>
          <w:u w:val="single"/>
        </w:rPr>
        <w:t xml:space="preserve"> eterno do processo, como forma de atenção aos princípios da boa-fé, lealdade e colaboração das partes.</w:t>
      </w:r>
    </w:p>
    <w:p w:rsidR="000E193F" w:rsidRDefault="000E193F" w:rsidP="00F34AE4">
      <w:pPr>
        <w:jc w:val="both"/>
        <w:rPr>
          <w:rFonts w:ascii="Book Antiqua" w:hAnsi="Book Antiqua"/>
        </w:rPr>
      </w:pPr>
    </w:p>
    <w:p w:rsidR="00F34AE4" w:rsidRDefault="00F34AE4" w:rsidP="00F34AE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Termos em que, </w:t>
      </w:r>
    </w:p>
    <w:p w:rsidR="00F34AE4" w:rsidRDefault="00F34AE4" w:rsidP="00F34AE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Pede deferimento. </w:t>
      </w:r>
    </w:p>
    <w:p w:rsidR="00F34AE4" w:rsidRDefault="00F34AE4" w:rsidP="00F34AE4">
      <w:pPr>
        <w:jc w:val="both"/>
        <w:rPr>
          <w:rFonts w:ascii="Book Antiqua" w:hAnsi="Book Antiqua"/>
        </w:rPr>
      </w:pPr>
    </w:p>
    <w:p w:rsidR="000E193F" w:rsidRDefault="000E193F" w:rsidP="000E193F">
      <w:pPr>
        <w:jc w:val="center"/>
        <w:rPr>
          <w:rFonts w:ascii="Book Antiqua" w:hAnsi="Book Antiqua" w:cs="Arial"/>
        </w:rPr>
      </w:pPr>
      <w:r>
        <w:rPr>
          <w:rFonts w:ascii="Book Antiqua" w:hAnsi="Book Antiqua" w:cs="Arial"/>
        </w:rPr>
        <w:t>Local e Data</w:t>
      </w:r>
    </w:p>
    <w:p w:rsidR="000E193F" w:rsidRPr="00D4424B" w:rsidRDefault="000E193F" w:rsidP="000E193F">
      <w:pPr>
        <w:spacing w:line="360" w:lineRule="auto"/>
        <w:jc w:val="center"/>
        <w:rPr>
          <w:rFonts w:ascii="Book Antiqua" w:hAnsi="Book Antiqua" w:cs="Arial"/>
        </w:rPr>
      </w:pPr>
    </w:p>
    <w:p w:rsidR="000E193F" w:rsidRPr="00D4424B" w:rsidRDefault="000E193F" w:rsidP="000E193F">
      <w:pPr>
        <w:jc w:val="center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ADVOGADA (O)</w:t>
      </w:r>
    </w:p>
    <w:sectPr w:rsidR="000E193F" w:rsidRPr="00D4424B" w:rsidSect="00731AA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4E" w:rsidRDefault="00FC7B4E" w:rsidP="00F5782A">
      <w:pPr>
        <w:spacing w:after="0" w:line="240" w:lineRule="auto"/>
      </w:pPr>
      <w:r>
        <w:separator/>
      </w:r>
    </w:p>
  </w:endnote>
  <w:endnote w:type="continuationSeparator" w:id="0">
    <w:p w:rsidR="00FC7B4E" w:rsidRDefault="00FC7B4E" w:rsidP="00F5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640656"/>
      <w:docPartObj>
        <w:docPartGallery w:val="Page Numbers (Bottom of Page)"/>
        <w:docPartUnique/>
      </w:docPartObj>
    </w:sdtPr>
    <w:sdtEndPr/>
    <w:sdtContent>
      <w:p w:rsidR="00B5267B" w:rsidRDefault="00B526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57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4E" w:rsidRDefault="00FC7B4E" w:rsidP="00F5782A">
      <w:pPr>
        <w:spacing w:after="0" w:line="240" w:lineRule="auto"/>
      </w:pPr>
      <w:r>
        <w:separator/>
      </w:r>
    </w:p>
  </w:footnote>
  <w:footnote w:type="continuationSeparator" w:id="0">
    <w:p w:rsidR="00FC7B4E" w:rsidRDefault="00FC7B4E" w:rsidP="00F5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F2" w:rsidRDefault="00C443F2" w:rsidP="009666A6">
    <w:pPr>
      <w:pStyle w:val="Cabealho"/>
      <w:tabs>
        <w:tab w:val="clear" w:pos="4252"/>
        <w:tab w:val="clear" w:pos="8504"/>
        <w:tab w:val="left" w:pos="474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71EB"/>
    <w:multiLevelType w:val="hybridMultilevel"/>
    <w:tmpl w:val="CBE4975C"/>
    <w:lvl w:ilvl="0" w:tplc="323202B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F1724"/>
    <w:multiLevelType w:val="hybridMultilevel"/>
    <w:tmpl w:val="F14CA06E"/>
    <w:lvl w:ilvl="0" w:tplc="155261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C9713D"/>
    <w:multiLevelType w:val="hybridMultilevel"/>
    <w:tmpl w:val="F77C179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8F6403"/>
    <w:multiLevelType w:val="hybridMultilevel"/>
    <w:tmpl w:val="15B64562"/>
    <w:lvl w:ilvl="0" w:tplc="323202B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86941"/>
    <w:multiLevelType w:val="hybridMultilevel"/>
    <w:tmpl w:val="B13A8E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D7E48"/>
    <w:multiLevelType w:val="hybridMultilevel"/>
    <w:tmpl w:val="CBE4975C"/>
    <w:lvl w:ilvl="0" w:tplc="323202B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E1D40"/>
    <w:multiLevelType w:val="hybridMultilevel"/>
    <w:tmpl w:val="CA360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F636F"/>
    <w:multiLevelType w:val="multilevel"/>
    <w:tmpl w:val="B1885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F694E7C"/>
    <w:multiLevelType w:val="hybridMultilevel"/>
    <w:tmpl w:val="EF3447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2787E"/>
    <w:multiLevelType w:val="hybridMultilevel"/>
    <w:tmpl w:val="A4549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3600B"/>
    <w:multiLevelType w:val="hybridMultilevel"/>
    <w:tmpl w:val="2C844AF8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1">
    <w:nsid w:val="4F292B6F"/>
    <w:multiLevelType w:val="hybridMultilevel"/>
    <w:tmpl w:val="CF36C02E"/>
    <w:lvl w:ilvl="0" w:tplc="408A4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AE50B5"/>
    <w:multiLevelType w:val="hybridMultilevel"/>
    <w:tmpl w:val="1020F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E5390"/>
    <w:multiLevelType w:val="hybridMultilevel"/>
    <w:tmpl w:val="5FD03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F02C0"/>
    <w:multiLevelType w:val="hybridMultilevel"/>
    <w:tmpl w:val="7F78B64C"/>
    <w:lvl w:ilvl="0" w:tplc="44DAE060">
      <w:start w:val="2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>
    <w:nsid w:val="5E5114EA"/>
    <w:multiLevelType w:val="hybridMultilevel"/>
    <w:tmpl w:val="F356E48A"/>
    <w:lvl w:ilvl="0" w:tplc="92C287FA">
      <w:start w:val="1"/>
      <w:numFmt w:val="decimal"/>
      <w:lvlText w:val="%1."/>
      <w:lvlJc w:val="left"/>
      <w:pPr>
        <w:ind w:left="249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>
    <w:nsid w:val="60F3246B"/>
    <w:multiLevelType w:val="hybridMultilevel"/>
    <w:tmpl w:val="FA40EC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80F01"/>
    <w:multiLevelType w:val="hybridMultilevel"/>
    <w:tmpl w:val="86CA6E9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11B68"/>
    <w:multiLevelType w:val="hybridMultilevel"/>
    <w:tmpl w:val="1A5A6736"/>
    <w:lvl w:ilvl="0" w:tplc="E960A42A">
      <w:start w:val="1"/>
      <w:numFmt w:val="decimal"/>
      <w:lvlText w:val="%1."/>
      <w:lvlJc w:val="left"/>
      <w:pPr>
        <w:ind w:left="447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627BA"/>
    <w:multiLevelType w:val="hybridMultilevel"/>
    <w:tmpl w:val="69D0D2D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5"/>
  </w:num>
  <w:num w:numId="5">
    <w:abstractNumId w:val="3"/>
  </w:num>
  <w:num w:numId="6">
    <w:abstractNumId w:val="14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9"/>
  </w:num>
  <w:num w:numId="12">
    <w:abstractNumId w:val="16"/>
  </w:num>
  <w:num w:numId="13">
    <w:abstractNumId w:val="17"/>
  </w:num>
  <w:num w:numId="14">
    <w:abstractNumId w:val="9"/>
  </w:num>
  <w:num w:numId="15">
    <w:abstractNumId w:val="7"/>
  </w:num>
  <w:num w:numId="16">
    <w:abstractNumId w:val="1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79"/>
    <w:rsid w:val="00010DEC"/>
    <w:rsid w:val="00013B26"/>
    <w:rsid w:val="00032A7C"/>
    <w:rsid w:val="0003588B"/>
    <w:rsid w:val="00042C0A"/>
    <w:rsid w:val="000435D6"/>
    <w:rsid w:val="00044488"/>
    <w:rsid w:val="00044E34"/>
    <w:rsid w:val="00055581"/>
    <w:rsid w:val="00062079"/>
    <w:rsid w:val="00084127"/>
    <w:rsid w:val="00085FF1"/>
    <w:rsid w:val="00087DCF"/>
    <w:rsid w:val="000A411A"/>
    <w:rsid w:val="000B2FEF"/>
    <w:rsid w:val="000C3BED"/>
    <w:rsid w:val="000C41EA"/>
    <w:rsid w:val="000C4A26"/>
    <w:rsid w:val="000C531E"/>
    <w:rsid w:val="000D0D5F"/>
    <w:rsid w:val="000D23C4"/>
    <w:rsid w:val="000D6F1F"/>
    <w:rsid w:val="000E193F"/>
    <w:rsid w:val="000E2AA5"/>
    <w:rsid w:val="00111AEA"/>
    <w:rsid w:val="00113A12"/>
    <w:rsid w:val="0011433B"/>
    <w:rsid w:val="001168C6"/>
    <w:rsid w:val="00124C39"/>
    <w:rsid w:val="00136664"/>
    <w:rsid w:val="00146170"/>
    <w:rsid w:val="00154952"/>
    <w:rsid w:val="00172AEC"/>
    <w:rsid w:val="00181439"/>
    <w:rsid w:val="00194270"/>
    <w:rsid w:val="00194A2F"/>
    <w:rsid w:val="00194D12"/>
    <w:rsid w:val="001A2FD7"/>
    <w:rsid w:val="001A689B"/>
    <w:rsid w:val="001B3FBD"/>
    <w:rsid w:val="001C611B"/>
    <w:rsid w:val="00201C74"/>
    <w:rsid w:val="00203198"/>
    <w:rsid w:val="00205BE7"/>
    <w:rsid w:val="002140C1"/>
    <w:rsid w:val="002149E4"/>
    <w:rsid w:val="00225F5D"/>
    <w:rsid w:val="0022603E"/>
    <w:rsid w:val="00236F66"/>
    <w:rsid w:val="0025577C"/>
    <w:rsid w:val="0025705D"/>
    <w:rsid w:val="00267669"/>
    <w:rsid w:val="00274970"/>
    <w:rsid w:val="00274E7A"/>
    <w:rsid w:val="00285112"/>
    <w:rsid w:val="002921FF"/>
    <w:rsid w:val="002A1E71"/>
    <w:rsid w:val="002A2E4F"/>
    <w:rsid w:val="002A496C"/>
    <w:rsid w:val="002A506E"/>
    <w:rsid w:val="002B0466"/>
    <w:rsid w:val="002B2883"/>
    <w:rsid w:val="002C4A0A"/>
    <w:rsid w:val="002E0C46"/>
    <w:rsid w:val="002E62B1"/>
    <w:rsid w:val="002E686B"/>
    <w:rsid w:val="002F79C2"/>
    <w:rsid w:val="00306A44"/>
    <w:rsid w:val="003102D7"/>
    <w:rsid w:val="00316015"/>
    <w:rsid w:val="0032672A"/>
    <w:rsid w:val="00334626"/>
    <w:rsid w:val="003351A1"/>
    <w:rsid w:val="00347DF1"/>
    <w:rsid w:val="00366B1F"/>
    <w:rsid w:val="00382E7C"/>
    <w:rsid w:val="00384FF5"/>
    <w:rsid w:val="00385A26"/>
    <w:rsid w:val="003C30E7"/>
    <w:rsid w:val="003E5337"/>
    <w:rsid w:val="003F3708"/>
    <w:rsid w:val="00406F1A"/>
    <w:rsid w:val="00435926"/>
    <w:rsid w:val="00437EB0"/>
    <w:rsid w:val="00451E89"/>
    <w:rsid w:val="004554C0"/>
    <w:rsid w:val="004649F9"/>
    <w:rsid w:val="00476EAF"/>
    <w:rsid w:val="00481C75"/>
    <w:rsid w:val="0048276F"/>
    <w:rsid w:val="0048325F"/>
    <w:rsid w:val="00487C4A"/>
    <w:rsid w:val="004A0DC5"/>
    <w:rsid w:val="004A0DCA"/>
    <w:rsid w:val="004B566A"/>
    <w:rsid w:val="004B602D"/>
    <w:rsid w:val="004B604D"/>
    <w:rsid w:val="004B6B97"/>
    <w:rsid w:val="004E73F1"/>
    <w:rsid w:val="004F249C"/>
    <w:rsid w:val="004F5FB7"/>
    <w:rsid w:val="004F75A8"/>
    <w:rsid w:val="00505DDB"/>
    <w:rsid w:val="005130F4"/>
    <w:rsid w:val="00514713"/>
    <w:rsid w:val="0052158D"/>
    <w:rsid w:val="00523E41"/>
    <w:rsid w:val="00563479"/>
    <w:rsid w:val="005759CD"/>
    <w:rsid w:val="0058036E"/>
    <w:rsid w:val="00583CB2"/>
    <w:rsid w:val="00584C8C"/>
    <w:rsid w:val="00590D0B"/>
    <w:rsid w:val="005913CD"/>
    <w:rsid w:val="00592160"/>
    <w:rsid w:val="005A6058"/>
    <w:rsid w:val="005A6413"/>
    <w:rsid w:val="005B223A"/>
    <w:rsid w:val="005B39F8"/>
    <w:rsid w:val="005C53F2"/>
    <w:rsid w:val="005D0C56"/>
    <w:rsid w:val="005E24A1"/>
    <w:rsid w:val="005E7E29"/>
    <w:rsid w:val="005F63D9"/>
    <w:rsid w:val="00601D6B"/>
    <w:rsid w:val="00606A2A"/>
    <w:rsid w:val="0061472B"/>
    <w:rsid w:val="00620D94"/>
    <w:rsid w:val="006321CF"/>
    <w:rsid w:val="00634912"/>
    <w:rsid w:val="00641E98"/>
    <w:rsid w:val="00644558"/>
    <w:rsid w:val="00644D0E"/>
    <w:rsid w:val="006575AC"/>
    <w:rsid w:val="00662081"/>
    <w:rsid w:val="006674E4"/>
    <w:rsid w:val="0067032B"/>
    <w:rsid w:val="006769C8"/>
    <w:rsid w:val="00697610"/>
    <w:rsid w:val="006C4EBB"/>
    <w:rsid w:val="006E3B7B"/>
    <w:rsid w:val="006E5BD5"/>
    <w:rsid w:val="006E7ED2"/>
    <w:rsid w:val="006F051C"/>
    <w:rsid w:val="0070139D"/>
    <w:rsid w:val="00710460"/>
    <w:rsid w:val="00710B75"/>
    <w:rsid w:val="00713825"/>
    <w:rsid w:val="0072578A"/>
    <w:rsid w:val="00731718"/>
    <w:rsid w:val="00731AA2"/>
    <w:rsid w:val="00741DC5"/>
    <w:rsid w:val="00745DB7"/>
    <w:rsid w:val="007531A8"/>
    <w:rsid w:val="0075393F"/>
    <w:rsid w:val="007625C1"/>
    <w:rsid w:val="00771798"/>
    <w:rsid w:val="007810AC"/>
    <w:rsid w:val="0079139D"/>
    <w:rsid w:val="00793A92"/>
    <w:rsid w:val="00796CAB"/>
    <w:rsid w:val="007B1E58"/>
    <w:rsid w:val="007F6530"/>
    <w:rsid w:val="00810B05"/>
    <w:rsid w:val="0081626F"/>
    <w:rsid w:val="008219E7"/>
    <w:rsid w:val="008255EB"/>
    <w:rsid w:val="00827B86"/>
    <w:rsid w:val="008300B6"/>
    <w:rsid w:val="008304B9"/>
    <w:rsid w:val="0083218B"/>
    <w:rsid w:val="00834B1B"/>
    <w:rsid w:val="0083502E"/>
    <w:rsid w:val="00844E3D"/>
    <w:rsid w:val="008575A0"/>
    <w:rsid w:val="008606E7"/>
    <w:rsid w:val="008627E5"/>
    <w:rsid w:val="0086667E"/>
    <w:rsid w:val="008762AE"/>
    <w:rsid w:val="00881104"/>
    <w:rsid w:val="0089786A"/>
    <w:rsid w:val="008A2C73"/>
    <w:rsid w:val="008D1485"/>
    <w:rsid w:val="008F3455"/>
    <w:rsid w:val="00913EC0"/>
    <w:rsid w:val="00922D14"/>
    <w:rsid w:val="0093026A"/>
    <w:rsid w:val="00937EBD"/>
    <w:rsid w:val="00962E48"/>
    <w:rsid w:val="009651B8"/>
    <w:rsid w:val="009666A6"/>
    <w:rsid w:val="00982123"/>
    <w:rsid w:val="009C10FF"/>
    <w:rsid w:val="009C7E97"/>
    <w:rsid w:val="009D2BEA"/>
    <w:rsid w:val="009F4A83"/>
    <w:rsid w:val="00A12A49"/>
    <w:rsid w:val="00A1757A"/>
    <w:rsid w:val="00A17B6B"/>
    <w:rsid w:val="00A27292"/>
    <w:rsid w:val="00A32363"/>
    <w:rsid w:val="00A366E2"/>
    <w:rsid w:val="00A458BB"/>
    <w:rsid w:val="00A4734F"/>
    <w:rsid w:val="00A54EA0"/>
    <w:rsid w:val="00A674BB"/>
    <w:rsid w:val="00A72F3B"/>
    <w:rsid w:val="00A80213"/>
    <w:rsid w:val="00A80B0B"/>
    <w:rsid w:val="00A842E9"/>
    <w:rsid w:val="00A85B71"/>
    <w:rsid w:val="00A86509"/>
    <w:rsid w:val="00AA192B"/>
    <w:rsid w:val="00AB69A9"/>
    <w:rsid w:val="00AC13AD"/>
    <w:rsid w:val="00AC537E"/>
    <w:rsid w:val="00AC7BDA"/>
    <w:rsid w:val="00AD7C47"/>
    <w:rsid w:val="00AE1F2C"/>
    <w:rsid w:val="00AE40A1"/>
    <w:rsid w:val="00AE50FB"/>
    <w:rsid w:val="00AF64F4"/>
    <w:rsid w:val="00B038A3"/>
    <w:rsid w:val="00B04CDB"/>
    <w:rsid w:val="00B131EF"/>
    <w:rsid w:val="00B1479F"/>
    <w:rsid w:val="00B246B7"/>
    <w:rsid w:val="00B357FE"/>
    <w:rsid w:val="00B35A62"/>
    <w:rsid w:val="00B36B7B"/>
    <w:rsid w:val="00B40BDC"/>
    <w:rsid w:val="00B50DCD"/>
    <w:rsid w:val="00B5267B"/>
    <w:rsid w:val="00B543B7"/>
    <w:rsid w:val="00B6136A"/>
    <w:rsid w:val="00B67A49"/>
    <w:rsid w:val="00B76863"/>
    <w:rsid w:val="00B90715"/>
    <w:rsid w:val="00B9132D"/>
    <w:rsid w:val="00B914D1"/>
    <w:rsid w:val="00BA7F49"/>
    <w:rsid w:val="00BB4338"/>
    <w:rsid w:val="00BC7593"/>
    <w:rsid w:val="00BE0508"/>
    <w:rsid w:val="00BE4497"/>
    <w:rsid w:val="00BF72D9"/>
    <w:rsid w:val="00C0005C"/>
    <w:rsid w:val="00C03FEA"/>
    <w:rsid w:val="00C063E7"/>
    <w:rsid w:val="00C066A7"/>
    <w:rsid w:val="00C128A1"/>
    <w:rsid w:val="00C17579"/>
    <w:rsid w:val="00C24415"/>
    <w:rsid w:val="00C27526"/>
    <w:rsid w:val="00C443F2"/>
    <w:rsid w:val="00C44D30"/>
    <w:rsid w:val="00C71820"/>
    <w:rsid w:val="00C83B03"/>
    <w:rsid w:val="00C84504"/>
    <w:rsid w:val="00C90DD7"/>
    <w:rsid w:val="00CB3615"/>
    <w:rsid w:val="00CB457A"/>
    <w:rsid w:val="00CC5124"/>
    <w:rsid w:val="00CD541D"/>
    <w:rsid w:val="00CE1B67"/>
    <w:rsid w:val="00D029B0"/>
    <w:rsid w:val="00D16342"/>
    <w:rsid w:val="00D212E3"/>
    <w:rsid w:val="00D22084"/>
    <w:rsid w:val="00D3046D"/>
    <w:rsid w:val="00D45091"/>
    <w:rsid w:val="00D52934"/>
    <w:rsid w:val="00D75794"/>
    <w:rsid w:val="00D94A1F"/>
    <w:rsid w:val="00DB273F"/>
    <w:rsid w:val="00DC2A25"/>
    <w:rsid w:val="00DD0143"/>
    <w:rsid w:val="00DD598B"/>
    <w:rsid w:val="00DE39EB"/>
    <w:rsid w:val="00DF2FBC"/>
    <w:rsid w:val="00E127D4"/>
    <w:rsid w:val="00E262BB"/>
    <w:rsid w:val="00E40B8E"/>
    <w:rsid w:val="00E4436B"/>
    <w:rsid w:val="00E516CE"/>
    <w:rsid w:val="00E6425B"/>
    <w:rsid w:val="00E67307"/>
    <w:rsid w:val="00E84988"/>
    <w:rsid w:val="00EA54C1"/>
    <w:rsid w:val="00EB4BEB"/>
    <w:rsid w:val="00EC2607"/>
    <w:rsid w:val="00EC3B87"/>
    <w:rsid w:val="00ED06EB"/>
    <w:rsid w:val="00ED24EE"/>
    <w:rsid w:val="00EF4EF7"/>
    <w:rsid w:val="00EF5435"/>
    <w:rsid w:val="00F02AE3"/>
    <w:rsid w:val="00F24416"/>
    <w:rsid w:val="00F27123"/>
    <w:rsid w:val="00F34AE4"/>
    <w:rsid w:val="00F36918"/>
    <w:rsid w:val="00F412F8"/>
    <w:rsid w:val="00F4578B"/>
    <w:rsid w:val="00F47187"/>
    <w:rsid w:val="00F5782A"/>
    <w:rsid w:val="00F655BF"/>
    <w:rsid w:val="00F65802"/>
    <w:rsid w:val="00F74830"/>
    <w:rsid w:val="00F83526"/>
    <w:rsid w:val="00F85672"/>
    <w:rsid w:val="00F85CEF"/>
    <w:rsid w:val="00F9375F"/>
    <w:rsid w:val="00F94D24"/>
    <w:rsid w:val="00F97AF1"/>
    <w:rsid w:val="00FA6A3F"/>
    <w:rsid w:val="00FB2DFD"/>
    <w:rsid w:val="00FB3585"/>
    <w:rsid w:val="00FB368B"/>
    <w:rsid w:val="00FB79BC"/>
    <w:rsid w:val="00FB7DC3"/>
    <w:rsid w:val="00FC7B4E"/>
    <w:rsid w:val="00FD42E5"/>
    <w:rsid w:val="00FF28AE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Calibri" w:hAnsi="Book Antiqu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F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locked/>
    <w:rsid w:val="00D02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3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563479"/>
    <w:rPr>
      <w:rFonts w:ascii="Calibri" w:hAnsi="Calibri" w:cs="Times New Roman"/>
      <w:color w:val="auto"/>
    </w:rPr>
  </w:style>
  <w:style w:type="paragraph" w:styleId="Rodap">
    <w:name w:val="footer"/>
    <w:basedOn w:val="Normal"/>
    <w:link w:val="RodapChar"/>
    <w:uiPriority w:val="99"/>
    <w:rsid w:val="00563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3479"/>
    <w:rPr>
      <w:rFonts w:ascii="Calibri" w:hAnsi="Calibri" w:cs="Times New Roman"/>
      <w:color w:val="auto"/>
    </w:rPr>
  </w:style>
  <w:style w:type="paragraph" w:styleId="PargrafodaLista">
    <w:name w:val="List Paragraph"/>
    <w:basedOn w:val="Normal"/>
    <w:uiPriority w:val="34"/>
    <w:qFormat/>
    <w:rsid w:val="0056347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56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63479"/>
    <w:rPr>
      <w:rFonts w:ascii="Tahoma" w:hAnsi="Tahoma" w:cs="Tahoma"/>
      <w:color w:val="auto"/>
      <w:sz w:val="16"/>
      <w:szCs w:val="16"/>
    </w:rPr>
  </w:style>
  <w:style w:type="paragraph" w:customStyle="1" w:styleId="ecxmsonormal">
    <w:name w:val="ecxmsonormal"/>
    <w:basedOn w:val="Normal"/>
    <w:uiPriority w:val="99"/>
    <w:rsid w:val="00F97AF1"/>
    <w:pPr>
      <w:spacing w:after="324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RefernciaSutil">
    <w:name w:val="Subtle Reference"/>
    <w:uiPriority w:val="31"/>
    <w:qFormat/>
    <w:rsid w:val="00F94D24"/>
    <w:rPr>
      <w:smallCaps/>
      <w:color w:val="C0504D"/>
      <w:u w:val="single"/>
    </w:rPr>
  </w:style>
  <w:style w:type="table" w:styleId="Tabelacomgrade">
    <w:name w:val="Table Grid"/>
    <w:basedOn w:val="Tabelanormal"/>
    <w:uiPriority w:val="59"/>
    <w:locked/>
    <w:rsid w:val="005C53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A496C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5F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5F5D"/>
    <w:rPr>
      <w:rFonts w:ascii="Calibri" w:hAnsi="Calibr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25F5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D029B0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temapn">
    <w:name w:val="temapn"/>
    <w:basedOn w:val="Normal"/>
    <w:rsid w:val="00D029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enun">
    <w:name w:val="textoenun"/>
    <w:basedOn w:val="Normal"/>
    <w:rsid w:val="00D029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7625C1"/>
  </w:style>
  <w:style w:type="paragraph" w:styleId="NormalWeb">
    <w:name w:val="Normal (Web)"/>
    <w:basedOn w:val="Normal"/>
    <w:uiPriority w:val="99"/>
    <w:semiHidden/>
    <w:unhideWhenUsed/>
    <w:rsid w:val="00762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6769C8"/>
    <w:rPr>
      <w:b/>
      <w:bCs/>
    </w:rPr>
  </w:style>
  <w:style w:type="character" w:styleId="nfase">
    <w:name w:val="Emphasis"/>
    <w:basedOn w:val="Fontepargpadro"/>
    <w:uiPriority w:val="20"/>
    <w:qFormat/>
    <w:locked/>
    <w:rsid w:val="006769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="Calibri" w:hAnsi="Book Antiqu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F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locked/>
    <w:rsid w:val="00D02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3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563479"/>
    <w:rPr>
      <w:rFonts w:ascii="Calibri" w:hAnsi="Calibri" w:cs="Times New Roman"/>
      <w:color w:val="auto"/>
    </w:rPr>
  </w:style>
  <w:style w:type="paragraph" w:styleId="Rodap">
    <w:name w:val="footer"/>
    <w:basedOn w:val="Normal"/>
    <w:link w:val="RodapChar"/>
    <w:uiPriority w:val="99"/>
    <w:rsid w:val="00563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3479"/>
    <w:rPr>
      <w:rFonts w:ascii="Calibri" w:hAnsi="Calibri" w:cs="Times New Roman"/>
      <w:color w:val="auto"/>
    </w:rPr>
  </w:style>
  <w:style w:type="paragraph" w:styleId="PargrafodaLista">
    <w:name w:val="List Paragraph"/>
    <w:basedOn w:val="Normal"/>
    <w:uiPriority w:val="34"/>
    <w:qFormat/>
    <w:rsid w:val="0056347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56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63479"/>
    <w:rPr>
      <w:rFonts w:ascii="Tahoma" w:hAnsi="Tahoma" w:cs="Tahoma"/>
      <w:color w:val="auto"/>
      <w:sz w:val="16"/>
      <w:szCs w:val="16"/>
    </w:rPr>
  </w:style>
  <w:style w:type="paragraph" w:customStyle="1" w:styleId="ecxmsonormal">
    <w:name w:val="ecxmsonormal"/>
    <w:basedOn w:val="Normal"/>
    <w:uiPriority w:val="99"/>
    <w:rsid w:val="00F97AF1"/>
    <w:pPr>
      <w:spacing w:after="324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RefernciaSutil">
    <w:name w:val="Subtle Reference"/>
    <w:uiPriority w:val="31"/>
    <w:qFormat/>
    <w:rsid w:val="00F94D24"/>
    <w:rPr>
      <w:smallCaps/>
      <w:color w:val="C0504D"/>
      <w:u w:val="single"/>
    </w:rPr>
  </w:style>
  <w:style w:type="table" w:styleId="Tabelacomgrade">
    <w:name w:val="Table Grid"/>
    <w:basedOn w:val="Tabelanormal"/>
    <w:uiPriority w:val="59"/>
    <w:locked/>
    <w:rsid w:val="005C53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A496C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5F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5F5D"/>
    <w:rPr>
      <w:rFonts w:ascii="Calibri" w:hAnsi="Calibr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25F5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D029B0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temapn">
    <w:name w:val="temapn"/>
    <w:basedOn w:val="Normal"/>
    <w:rsid w:val="00D029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enun">
    <w:name w:val="textoenun"/>
    <w:basedOn w:val="Normal"/>
    <w:rsid w:val="00D029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7625C1"/>
  </w:style>
  <w:style w:type="paragraph" w:styleId="NormalWeb">
    <w:name w:val="Normal (Web)"/>
    <w:basedOn w:val="Normal"/>
    <w:uiPriority w:val="99"/>
    <w:semiHidden/>
    <w:unhideWhenUsed/>
    <w:rsid w:val="00762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6769C8"/>
    <w:rPr>
      <w:b/>
      <w:bCs/>
    </w:rPr>
  </w:style>
  <w:style w:type="character" w:styleId="nfase">
    <w:name w:val="Emphasis"/>
    <w:basedOn w:val="Fontepargpadro"/>
    <w:uiPriority w:val="20"/>
    <w:qFormat/>
    <w:locked/>
    <w:rsid w:val="006769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893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Vinícius Noé</cp:lastModifiedBy>
  <cp:revision>6</cp:revision>
  <cp:lastPrinted>2019-04-02T03:48:00Z</cp:lastPrinted>
  <dcterms:created xsi:type="dcterms:W3CDTF">2020-06-02T22:08:00Z</dcterms:created>
  <dcterms:modified xsi:type="dcterms:W3CDTF">2020-06-09T01:53:00Z</dcterms:modified>
</cp:coreProperties>
</file>